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238" w:rsidRDefault="007D5238">
      <w:pPr>
        <w:widowControl w:val="0"/>
        <w:autoSpaceDE w:val="0"/>
        <w:autoSpaceDN w:val="0"/>
        <w:adjustRightInd w:val="0"/>
        <w:spacing w:after="0" w:line="240" w:lineRule="auto"/>
        <w:rPr>
          <w:rFonts w:ascii="Times New Roman" w:hAnsi="Times New Roman" w:cs="Times New Roman"/>
          <w:sz w:val="24"/>
          <w:szCs w:val="24"/>
        </w:rPr>
      </w:pPr>
      <w:bookmarkStart w:id="0" w:name="_GoBack"/>
      <w:bookmarkEnd w:id="0"/>
    </w:p>
    <w:p w:rsidR="007D5238" w:rsidRDefault="007D5238">
      <w:pPr>
        <w:widowControl w:val="0"/>
        <w:autoSpaceDE w:val="0"/>
        <w:autoSpaceDN w:val="0"/>
        <w:adjustRightInd w:val="0"/>
        <w:spacing w:after="0" w:line="240" w:lineRule="auto"/>
        <w:rPr>
          <w:rFonts w:ascii="Arial" w:hAnsi="Arial" w:cs="Arial"/>
          <w:sz w:val="24"/>
          <w:szCs w:val="24"/>
        </w:rPr>
        <w:sectPr w:rsidR="007D5238">
          <w:headerReference w:type="default" r:id="rId7"/>
          <w:footerReference w:type="default" r:id="rId8"/>
          <w:pgSz w:w="12240" w:h="15840"/>
          <w:pgMar w:top="1080" w:right="1080" w:bottom="1080" w:left="1080" w:header="720" w:footer="720" w:gutter="0"/>
          <w:cols w:space="720"/>
          <w:noEndnote/>
        </w:sectPr>
      </w:pPr>
    </w:p>
    <w:p w:rsidR="007D5238" w:rsidRDefault="007D523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 w:name="co_document_1"/>
      <w:bookmarkStart w:id="2" w:name="Ia298e997530511e5b4bafa136b480ad2_Target"/>
      <w:bookmarkEnd w:id="1"/>
      <w:bookmarkEnd w:id="2"/>
    </w:p>
    <w:p w:rsidR="007D5238" w:rsidRDefault="004B3836">
      <w:pPr>
        <w:widowControl w:val="0"/>
        <w:autoSpaceDE w:val="0"/>
        <w:autoSpaceDN w:val="0"/>
        <w:adjustRightInd w:val="0"/>
        <w:spacing w:before="100" w:after="0" w:line="240" w:lineRule="auto"/>
        <w:jc w:val="center"/>
        <w:rPr>
          <w:rFonts w:ascii="Georgia" w:hAnsi="Georgia" w:cs="Georgia"/>
          <w:color w:val="000000"/>
          <w:sz w:val="20"/>
          <w:szCs w:val="20"/>
        </w:rPr>
      </w:pPr>
      <w:r>
        <w:rPr>
          <w:rFonts w:ascii="Georgia" w:hAnsi="Georgia" w:cs="Georgia"/>
          <w:color w:val="000000"/>
          <w:sz w:val="20"/>
          <w:szCs w:val="20"/>
        </w:rPr>
        <w:t>2015 WL 5166788</w:t>
      </w:r>
    </w:p>
    <w:p w:rsidR="007D5238" w:rsidRDefault="004B3836">
      <w:pPr>
        <w:widowControl w:val="0"/>
        <w:autoSpaceDE w:val="0"/>
        <w:autoSpaceDN w:val="0"/>
        <w:adjustRightInd w:val="0"/>
        <w:spacing w:after="0" w:line="240" w:lineRule="auto"/>
        <w:jc w:val="center"/>
        <w:rPr>
          <w:rFonts w:ascii="Georgia" w:hAnsi="Georgia" w:cs="Georgia"/>
          <w:color w:val="000000"/>
          <w:sz w:val="20"/>
          <w:szCs w:val="20"/>
        </w:rPr>
      </w:pPr>
      <w:r>
        <w:rPr>
          <w:rFonts w:ascii="Georgia" w:hAnsi="Georgia" w:cs="Georgia"/>
          <w:color w:val="000000"/>
          <w:sz w:val="20"/>
          <w:szCs w:val="20"/>
        </w:rPr>
        <w:t>United States Court of Appeals,</w:t>
      </w:r>
    </w:p>
    <w:p w:rsidR="007D5238" w:rsidRDefault="004B3836">
      <w:pPr>
        <w:widowControl w:val="0"/>
        <w:autoSpaceDE w:val="0"/>
        <w:autoSpaceDN w:val="0"/>
        <w:adjustRightInd w:val="0"/>
        <w:spacing w:after="0" w:line="240" w:lineRule="auto"/>
        <w:jc w:val="center"/>
        <w:rPr>
          <w:rFonts w:ascii="Georgia" w:hAnsi="Georgia" w:cs="Georgia"/>
          <w:color w:val="000000"/>
          <w:sz w:val="20"/>
          <w:szCs w:val="20"/>
        </w:rPr>
      </w:pPr>
      <w:proofErr w:type="gramStart"/>
      <w:r>
        <w:rPr>
          <w:rFonts w:ascii="Georgia" w:hAnsi="Georgia" w:cs="Georgia"/>
          <w:color w:val="000000"/>
          <w:sz w:val="20"/>
          <w:szCs w:val="20"/>
        </w:rPr>
        <w:t>Ninth Circuit.</w:t>
      </w:r>
      <w:proofErr w:type="gramEnd"/>
    </w:p>
    <w:p w:rsidR="007D5238" w:rsidRDefault="004B3836">
      <w:pPr>
        <w:widowControl w:val="0"/>
        <w:autoSpaceDE w:val="0"/>
        <w:autoSpaceDN w:val="0"/>
        <w:adjustRightInd w:val="0"/>
        <w:spacing w:before="200" w:after="0" w:line="240" w:lineRule="auto"/>
        <w:ind w:left="100" w:right="100"/>
        <w:jc w:val="center"/>
        <w:rPr>
          <w:rFonts w:ascii="Georgia" w:hAnsi="Georgia" w:cs="Georgia"/>
          <w:color w:val="252525"/>
          <w:sz w:val="20"/>
          <w:szCs w:val="20"/>
        </w:rPr>
      </w:pPr>
      <w:r>
        <w:rPr>
          <w:rFonts w:ascii="Georgia" w:hAnsi="Georgia" w:cs="Georgia"/>
          <w:color w:val="252525"/>
          <w:sz w:val="20"/>
          <w:szCs w:val="20"/>
        </w:rPr>
        <w:t>Daniel RODRIGUEZ, individually and on behalf of all others similarly situated, Plaintiff–Appellant,</w:t>
      </w:r>
    </w:p>
    <w:p w:rsidR="007D5238" w:rsidRDefault="004B3836">
      <w:pPr>
        <w:widowControl w:val="0"/>
        <w:autoSpaceDE w:val="0"/>
        <w:autoSpaceDN w:val="0"/>
        <w:adjustRightInd w:val="0"/>
        <w:spacing w:after="0" w:line="240" w:lineRule="auto"/>
        <w:ind w:left="100" w:right="100"/>
        <w:jc w:val="center"/>
        <w:rPr>
          <w:rFonts w:ascii="Georgia" w:hAnsi="Georgia" w:cs="Georgia"/>
          <w:color w:val="252525"/>
          <w:sz w:val="20"/>
          <w:szCs w:val="20"/>
        </w:rPr>
      </w:pPr>
      <w:proofErr w:type="gramStart"/>
      <w:r>
        <w:rPr>
          <w:rFonts w:ascii="Georgia" w:hAnsi="Georgia" w:cs="Georgia"/>
          <w:color w:val="252525"/>
          <w:sz w:val="20"/>
          <w:szCs w:val="20"/>
        </w:rPr>
        <w:t>v</w:t>
      </w:r>
      <w:proofErr w:type="gramEnd"/>
      <w:r>
        <w:rPr>
          <w:rFonts w:ascii="Georgia" w:hAnsi="Georgia" w:cs="Georgia"/>
          <w:color w:val="252525"/>
          <w:sz w:val="20"/>
          <w:szCs w:val="20"/>
        </w:rPr>
        <w:t>.</w:t>
      </w:r>
    </w:p>
    <w:p w:rsidR="007D5238" w:rsidRDefault="00776BCA">
      <w:pPr>
        <w:widowControl w:val="0"/>
        <w:autoSpaceDE w:val="0"/>
        <w:autoSpaceDN w:val="0"/>
        <w:adjustRightInd w:val="0"/>
        <w:spacing w:line="240" w:lineRule="auto"/>
        <w:ind w:left="100" w:right="100"/>
        <w:jc w:val="center"/>
        <w:rPr>
          <w:rFonts w:ascii="Georgia" w:hAnsi="Georgia" w:cs="Georgia"/>
          <w:color w:val="252525"/>
          <w:sz w:val="20"/>
          <w:szCs w:val="20"/>
        </w:rPr>
      </w:pPr>
      <w:hyperlink r:id="rId9" w:history="1">
        <w:proofErr w:type="gramStart"/>
        <w:r w:rsidR="004B3836">
          <w:rPr>
            <w:rFonts w:ascii="Georgia" w:hAnsi="Georgia" w:cs="Georgia"/>
            <w:color w:val="0000FF"/>
            <w:sz w:val="20"/>
            <w:szCs w:val="20"/>
          </w:rPr>
          <w:t>SONY COMPUTER ENTERTAINMENT AMERICA, LLC</w:t>
        </w:r>
      </w:hyperlink>
      <w:r w:rsidR="004B3836">
        <w:rPr>
          <w:rFonts w:ascii="Georgia" w:hAnsi="Georgia" w:cs="Georgia"/>
          <w:color w:val="252525"/>
          <w:sz w:val="20"/>
          <w:szCs w:val="20"/>
        </w:rPr>
        <w:t>, a Delaware limited liability company; Sony Network Entertainment International, LLC, a Delaware limited liability company, Defendants–Appellees.</w:t>
      </w:r>
      <w:proofErr w:type="gramEnd"/>
    </w:p>
    <w:p w:rsidR="007D5238" w:rsidRDefault="004B3836">
      <w:pPr>
        <w:widowControl w:val="0"/>
        <w:autoSpaceDE w:val="0"/>
        <w:autoSpaceDN w:val="0"/>
        <w:adjustRightInd w:val="0"/>
        <w:spacing w:line="240" w:lineRule="auto"/>
        <w:jc w:val="center"/>
        <w:rPr>
          <w:rFonts w:ascii="Georgia" w:hAnsi="Georgia" w:cs="Georgia"/>
          <w:color w:val="000000"/>
          <w:sz w:val="20"/>
          <w:szCs w:val="20"/>
        </w:rPr>
      </w:pPr>
      <w:r>
        <w:rPr>
          <w:rFonts w:ascii="Georgia" w:hAnsi="Georgia" w:cs="Georgia"/>
          <w:color w:val="000000"/>
          <w:sz w:val="20"/>
          <w:szCs w:val="20"/>
        </w:rPr>
        <w:t>No. 12–17391. | Argued and Submitted Feb. 6, 2015. | Filed Sept. 4, 2015.</w:t>
      </w:r>
    </w:p>
    <w:p w:rsidR="007D5238" w:rsidRDefault="004B3836">
      <w:pPr>
        <w:widowControl w:val="0"/>
        <w:autoSpaceDE w:val="0"/>
        <w:autoSpaceDN w:val="0"/>
        <w:adjustRightInd w:val="0"/>
        <w:spacing w:before="400" w:after="0" w:line="240" w:lineRule="auto"/>
        <w:jc w:val="both"/>
        <w:rPr>
          <w:rFonts w:ascii="Times New Roman" w:hAnsi="Times New Roman" w:cs="Times New Roman"/>
          <w:b/>
          <w:bCs/>
          <w:color w:val="252525"/>
          <w:sz w:val="20"/>
          <w:szCs w:val="20"/>
        </w:rPr>
      </w:pPr>
      <w:bookmarkStart w:id="3" w:name="co_synopsis_1"/>
      <w:bookmarkEnd w:id="3"/>
      <w:r>
        <w:rPr>
          <w:rFonts w:ascii="Times New Roman" w:hAnsi="Times New Roman" w:cs="Times New Roman"/>
          <w:b/>
          <w:bCs/>
          <w:color w:val="252525"/>
          <w:sz w:val="20"/>
          <w:szCs w:val="20"/>
        </w:rPr>
        <w:t>Synopsis</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bCs/>
          <w:color w:val="000000"/>
          <w:sz w:val="20"/>
          <w:szCs w:val="20"/>
        </w:rPr>
        <w:t>Background:</w:t>
      </w:r>
      <w:r>
        <w:rPr>
          <w:rFonts w:ascii="Times New Roman" w:hAnsi="Times New Roman" w:cs="Times New Roman"/>
          <w:color w:val="000000"/>
          <w:sz w:val="20"/>
          <w:szCs w:val="20"/>
        </w:rPr>
        <w:t xml:space="preserve"> Consumer brought action against online video provider and related management company, alleging violation of the Video Privacy Protection Act (VPPA), and seeking statutory and punitive damages, as well as injunctive relief. Defendants moved to dismiss. The United States District Court for the Northern District of California, </w:t>
      </w:r>
      <w:hyperlink r:id="rId10" w:history="1">
        <w:r>
          <w:rPr>
            <w:rFonts w:ascii="Times New Roman" w:hAnsi="Times New Roman" w:cs="Times New Roman"/>
            <w:color w:val="0000FF"/>
            <w:sz w:val="20"/>
            <w:szCs w:val="20"/>
          </w:rPr>
          <w:t>Phyllis J. Hamilton</w:t>
        </w:r>
      </w:hyperlink>
      <w:r>
        <w:rPr>
          <w:rFonts w:ascii="Times New Roman" w:hAnsi="Times New Roman" w:cs="Times New Roman"/>
          <w:color w:val="000000"/>
          <w:sz w:val="20"/>
          <w:szCs w:val="20"/>
        </w:rPr>
        <w:t>, Chief Judge, granted motion. Consumer appealed.</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7D5238" w:rsidRDefault="004B3836">
      <w:pPr>
        <w:widowControl w:val="0"/>
        <w:autoSpaceDE w:val="0"/>
        <w:autoSpaceDN w:val="0"/>
        <w:adjustRightInd w:val="0"/>
        <w:spacing w:before="400" w:after="0" w:line="240" w:lineRule="auto"/>
        <w:jc w:val="both"/>
        <w:rPr>
          <w:rFonts w:ascii="Times New Roman" w:hAnsi="Times New Roman" w:cs="Times New Roman"/>
          <w:color w:val="000000"/>
          <w:sz w:val="20"/>
          <w:szCs w:val="20"/>
        </w:rPr>
      </w:pPr>
      <w:r>
        <w:rPr>
          <w:rFonts w:ascii="Times New Roman" w:hAnsi="Times New Roman" w:cs="Times New Roman"/>
          <w:b/>
          <w:bCs/>
          <w:color w:val="000000"/>
          <w:sz w:val="20"/>
          <w:szCs w:val="20"/>
        </w:rPr>
        <w:t>Holdings:</w:t>
      </w:r>
      <w:r>
        <w:rPr>
          <w:rFonts w:ascii="Times New Roman" w:hAnsi="Times New Roman" w:cs="Times New Roman"/>
          <w:color w:val="000000"/>
          <w:sz w:val="20"/>
          <w:szCs w:val="20"/>
        </w:rPr>
        <w:t xml:space="preserve"> The Court of Appeals, </w:t>
      </w:r>
      <w:hyperlink r:id="rId11" w:history="1">
        <w:r>
          <w:rPr>
            <w:rFonts w:ascii="Times New Roman" w:hAnsi="Times New Roman" w:cs="Times New Roman"/>
            <w:color w:val="0000FF"/>
            <w:sz w:val="20"/>
            <w:szCs w:val="20"/>
          </w:rPr>
          <w:t>Rawlinson</w:t>
        </w:r>
      </w:hyperlink>
      <w:r>
        <w:rPr>
          <w:rFonts w:ascii="Times New Roman" w:hAnsi="Times New Roman" w:cs="Times New Roman"/>
          <w:color w:val="000000"/>
          <w:sz w:val="20"/>
          <w:szCs w:val="20"/>
        </w:rPr>
        <w:t>, Circuit Judge held that:</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7D5238" w:rsidRDefault="00776BCA">
      <w:pPr>
        <w:widowControl w:val="0"/>
        <w:autoSpaceDE w:val="0"/>
        <w:autoSpaceDN w:val="0"/>
        <w:adjustRightInd w:val="0"/>
        <w:spacing w:after="0" w:line="240" w:lineRule="auto"/>
        <w:jc w:val="both"/>
        <w:rPr>
          <w:rFonts w:ascii="Times New Roman" w:hAnsi="Times New Roman" w:cs="Times New Roman"/>
          <w:color w:val="000000"/>
          <w:sz w:val="20"/>
          <w:szCs w:val="20"/>
        </w:rPr>
      </w:pPr>
      <w:hyperlink w:anchor="co_anchor_F72037077884_1" w:history="1">
        <w:r w:rsidR="004B3836">
          <w:rPr>
            <w:rFonts w:ascii="Times New Roman" w:hAnsi="Times New Roman" w:cs="Times New Roman"/>
            <w:color w:val="0000FF"/>
            <w:sz w:val="20"/>
            <w:szCs w:val="20"/>
            <w:vertAlign w:val="superscript"/>
          </w:rPr>
          <w:t>[1]</w:t>
        </w:r>
      </w:hyperlink>
      <w:r w:rsidR="004B3836">
        <w:rPr>
          <w:rFonts w:ascii="Times New Roman" w:hAnsi="Times New Roman" w:cs="Times New Roman"/>
          <w:color w:val="000000"/>
          <w:sz w:val="20"/>
          <w:szCs w:val="20"/>
        </w:rPr>
        <w:t xml:space="preserve"> </w:t>
      </w:r>
      <w:proofErr w:type="gramStart"/>
      <w:r w:rsidR="004B3836">
        <w:rPr>
          <w:rFonts w:ascii="Times New Roman" w:hAnsi="Times New Roman" w:cs="Times New Roman"/>
          <w:color w:val="000000"/>
          <w:sz w:val="20"/>
          <w:szCs w:val="20"/>
        </w:rPr>
        <w:t>consumer</w:t>
      </w:r>
      <w:proofErr w:type="gramEnd"/>
      <w:r w:rsidR="004B3836">
        <w:rPr>
          <w:rFonts w:ascii="Times New Roman" w:hAnsi="Times New Roman" w:cs="Times New Roman"/>
          <w:color w:val="000000"/>
          <w:sz w:val="20"/>
          <w:szCs w:val="20"/>
        </w:rPr>
        <w:t xml:space="preserve"> failed to sufficiently allege that inter-corporate disclosures of his personal information were unlawful;</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7D5238" w:rsidRDefault="00776BCA">
      <w:pPr>
        <w:widowControl w:val="0"/>
        <w:autoSpaceDE w:val="0"/>
        <w:autoSpaceDN w:val="0"/>
        <w:adjustRightInd w:val="0"/>
        <w:spacing w:after="0" w:line="240" w:lineRule="auto"/>
        <w:jc w:val="both"/>
        <w:rPr>
          <w:rFonts w:ascii="Times New Roman" w:hAnsi="Times New Roman" w:cs="Times New Roman"/>
          <w:color w:val="000000"/>
          <w:sz w:val="20"/>
          <w:szCs w:val="20"/>
        </w:rPr>
      </w:pPr>
      <w:hyperlink w:anchor="co_anchor_F82037077884_1" w:history="1">
        <w:r w:rsidR="004B3836">
          <w:rPr>
            <w:rFonts w:ascii="Times New Roman" w:hAnsi="Times New Roman" w:cs="Times New Roman"/>
            <w:color w:val="0000FF"/>
            <w:sz w:val="20"/>
            <w:szCs w:val="20"/>
            <w:vertAlign w:val="superscript"/>
          </w:rPr>
          <w:t>[2]</w:t>
        </w:r>
      </w:hyperlink>
      <w:r w:rsidR="004B3836">
        <w:rPr>
          <w:rFonts w:ascii="Times New Roman" w:hAnsi="Times New Roman" w:cs="Times New Roman"/>
          <w:color w:val="000000"/>
          <w:sz w:val="20"/>
          <w:szCs w:val="20"/>
        </w:rPr>
        <w:t xml:space="preserve"> </w:t>
      </w:r>
      <w:proofErr w:type="gramStart"/>
      <w:r w:rsidR="004B3836">
        <w:rPr>
          <w:rFonts w:ascii="Times New Roman" w:hAnsi="Times New Roman" w:cs="Times New Roman"/>
          <w:color w:val="000000"/>
          <w:sz w:val="20"/>
          <w:szCs w:val="20"/>
        </w:rPr>
        <w:t>intra-corporate</w:t>
      </w:r>
      <w:proofErr w:type="gramEnd"/>
      <w:r w:rsidR="004B3836">
        <w:rPr>
          <w:rFonts w:ascii="Times New Roman" w:hAnsi="Times New Roman" w:cs="Times New Roman"/>
          <w:color w:val="000000"/>
          <w:sz w:val="20"/>
          <w:szCs w:val="20"/>
        </w:rPr>
        <w:t xml:space="preserve"> disclosures of information are not unauthorized disclosures under VPPA; and</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7D5238" w:rsidRDefault="00776BCA">
      <w:pPr>
        <w:widowControl w:val="0"/>
        <w:autoSpaceDE w:val="0"/>
        <w:autoSpaceDN w:val="0"/>
        <w:adjustRightInd w:val="0"/>
        <w:spacing w:after="0" w:line="240" w:lineRule="auto"/>
        <w:jc w:val="both"/>
        <w:rPr>
          <w:rFonts w:ascii="Times New Roman" w:hAnsi="Times New Roman" w:cs="Times New Roman"/>
          <w:color w:val="000000"/>
          <w:sz w:val="20"/>
          <w:szCs w:val="20"/>
        </w:rPr>
      </w:pPr>
      <w:hyperlink w:anchor="co_anchor_F92037077884_1" w:history="1">
        <w:r w:rsidR="004B3836">
          <w:rPr>
            <w:rFonts w:ascii="Times New Roman" w:hAnsi="Times New Roman" w:cs="Times New Roman"/>
            <w:color w:val="0000FF"/>
            <w:sz w:val="20"/>
            <w:szCs w:val="20"/>
            <w:vertAlign w:val="superscript"/>
          </w:rPr>
          <w:t>[3]</w:t>
        </w:r>
      </w:hyperlink>
      <w:r w:rsidR="004B3836">
        <w:rPr>
          <w:rFonts w:ascii="Times New Roman" w:hAnsi="Times New Roman" w:cs="Times New Roman"/>
          <w:color w:val="000000"/>
          <w:sz w:val="20"/>
          <w:szCs w:val="20"/>
        </w:rPr>
        <w:t xml:space="preserve"> VPPA does not provide a private right of action for the retention of a consumer’s personal information beyond the statutorily imposed time limitations.</w:t>
      </w:r>
    </w:p>
    <w:p w:rsidR="007D5238" w:rsidRDefault="004B3836">
      <w:pPr>
        <w:widowControl w:val="0"/>
        <w:autoSpaceDE w:val="0"/>
        <w:autoSpaceDN w:val="0"/>
        <w:adjustRightInd w:val="0"/>
        <w:spacing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Affirmed.</w:t>
      </w:r>
      <w:proofErr w:type="gramEnd"/>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7D5238" w:rsidRDefault="004B3836">
      <w:pPr>
        <w:widowControl w:val="0"/>
        <w:autoSpaceDE w:val="0"/>
        <w:autoSpaceDN w:val="0"/>
        <w:adjustRightInd w:val="0"/>
        <w:spacing w:before="200" w:line="240" w:lineRule="auto"/>
        <w:jc w:val="both"/>
        <w:rPr>
          <w:rFonts w:ascii="Times New Roman" w:hAnsi="Times New Roman" w:cs="Times New Roman"/>
          <w:b/>
          <w:bCs/>
          <w:color w:val="252525"/>
          <w:sz w:val="20"/>
          <w:szCs w:val="20"/>
        </w:rPr>
      </w:pPr>
      <w:bookmarkStart w:id="4" w:name="co_attorneysAndLawFirms_1"/>
      <w:bookmarkEnd w:id="4"/>
      <w:r>
        <w:rPr>
          <w:rFonts w:ascii="Times New Roman" w:hAnsi="Times New Roman" w:cs="Times New Roman"/>
          <w:b/>
          <w:bCs/>
          <w:color w:val="252525"/>
          <w:sz w:val="20"/>
          <w:szCs w:val="20"/>
        </w:rPr>
        <w:t>Attorneys and Law Firms</w:t>
      </w:r>
    </w:p>
    <w:p w:rsidR="007D5238" w:rsidRDefault="00776BCA">
      <w:pPr>
        <w:widowControl w:val="0"/>
        <w:autoSpaceDE w:val="0"/>
        <w:autoSpaceDN w:val="0"/>
        <w:adjustRightInd w:val="0"/>
        <w:spacing w:after="0" w:line="240" w:lineRule="auto"/>
        <w:jc w:val="both"/>
        <w:rPr>
          <w:rFonts w:ascii="Times New Roman" w:hAnsi="Times New Roman" w:cs="Times New Roman"/>
          <w:color w:val="000000"/>
          <w:sz w:val="20"/>
          <w:szCs w:val="20"/>
        </w:rPr>
      </w:pPr>
      <w:hyperlink r:id="rId12" w:history="1">
        <w:r w:rsidR="004B3836">
          <w:rPr>
            <w:rFonts w:ascii="Times New Roman" w:hAnsi="Times New Roman" w:cs="Times New Roman"/>
            <w:color w:val="0000FF"/>
            <w:sz w:val="20"/>
            <w:szCs w:val="20"/>
          </w:rPr>
          <w:t xml:space="preserve">Roger </w:t>
        </w:r>
        <w:proofErr w:type="spellStart"/>
        <w:r w:rsidR="004B3836">
          <w:rPr>
            <w:rFonts w:ascii="Times New Roman" w:hAnsi="Times New Roman" w:cs="Times New Roman"/>
            <w:color w:val="0000FF"/>
            <w:sz w:val="20"/>
            <w:szCs w:val="20"/>
          </w:rPr>
          <w:t>Perlstadt</w:t>
        </w:r>
        <w:proofErr w:type="spellEnd"/>
      </w:hyperlink>
      <w:r w:rsidR="004B3836">
        <w:rPr>
          <w:rFonts w:ascii="Times New Roman" w:hAnsi="Times New Roman" w:cs="Times New Roman"/>
          <w:color w:val="000000"/>
          <w:sz w:val="20"/>
          <w:szCs w:val="20"/>
        </w:rPr>
        <w:t xml:space="preserve"> (argued), </w:t>
      </w:r>
      <w:proofErr w:type="spellStart"/>
      <w:r w:rsidR="004B3836">
        <w:rPr>
          <w:rFonts w:ascii="Times New Roman" w:hAnsi="Times New Roman" w:cs="Times New Roman"/>
          <w:color w:val="000000"/>
          <w:sz w:val="20"/>
          <w:szCs w:val="20"/>
        </w:rPr>
        <w:t>Edelson</w:t>
      </w:r>
      <w:proofErr w:type="spellEnd"/>
      <w:r w:rsidR="004B3836">
        <w:rPr>
          <w:rFonts w:ascii="Times New Roman" w:hAnsi="Times New Roman" w:cs="Times New Roman"/>
          <w:color w:val="000000"/>
          <w:sz w:val="20"/>
          <w:szCs w:val="20"/>
        </w:rPr>
        <w:t xml:space="preserve"> PC, Chicago, IL; </w:t>
      </w:r>
      <w:hyperlink r:id="rId13" w:history="1">
        <w:r w:rsidR="004B3836">
          <w:rPr>
            <w:rFonts w:ascii="Times New Roman" w:hAnsi="Times New Roman" w:cs="Times New Roman"/>
            <w:color w:val="0000FF"/>
            <w:sz w:val="20"/>
            <w:szCs w:val="20"/>
          </w:rPr>
          <w:t>Sean Reis</w:t>
        </w:r>
      </w:hyperlink>
      <w:r w:rsidR="004B3836">
        <w:rPr>
          <w:rFonts w:ascii="Times New Roman" w:hAnsi="Times New Roman" w:cs="Times New Roman"/>
          <w:color w:val="000000"/>
          <w:sz w:val="20"/>
          <w:szCs w:val="20"/>
        </w:rPr>
        <w:t>, The Reis Law Firm, A.P.C., Rancho Santa Margarita, CA, for Plaintiff–Appellant.</w:t>
      </w:r>
    </w:p>
    <w:p w:rsidR="007D5238" w:rsidRDefault="00776BCA">
      <w:pPr>
        <w:widowControl w:val="0"/>
        <w:autoSpaceDE w:val="0"/>
        <w:autoSpaceDN w:val="0"/>
        <w:adjustRightInd w:val="0"/>
        <w:spacing w:before="200" w:after="0" w:line="240" w:lineRule="auto"/>
        <w:jc w:val="both"/>
        <w:rPr>
          <w:rFonts w:ascii="Times New Roman" w:hAnsi="Times New Roman" w:cs="Times New Roman"/>
          <w:color w:val="000000"/>
          <w:sz w:val="20"/>
          <w:szCs w:val="20"/>
        </w:rPr>
      </w:pPr>
      <w:hyperlink r:id="rId14" w:history="1">
        <w:r w:rsidR="004B3836">
          <w:rPr>
            <w:rFonts w:ascii="Times New Roman" w:hAnsi="Times New Roman" w:cs="Times New Roman"/>
            <w:color w:val="0000FF"/>
            <w:sz w:val="20"/>
            <w:szCs w:val="20"/>
          </w:rPr>
          <w:t>Michael G. Rhodes</w:t>
        </w:r>
      </w:hyperlink>
      <w:r w:rsidR="004B3836">
        <w:rPr>
          <w:rFonts w:ascii="Times New Roman" w:hAnsi="Times New Roman" w:cs="Times New Roman"/>
          <w:color w:val="000000"/>
          <w:sz w:val="20"/>
          <w:szCs w:val="20"/>
        </w:rPr>
        <w:t xml:space="preserve"> (argued) and </w:t>
      </w:r>
      <w:hyperlink r:id="rId15" w:history="1">
        <w:r w:rsidR="004B3836">
          <w:rPr>
            <w:rFonts w:ascii="Times New Roman" w:hAnsi="Times New Roman" w:cs="Times New Roman"/>
            <w:color w:val="0000FF"/>
            <w:sz w:val="20"/>
            <w:szCs w:val="20"/>
          </w:rPr>
          <w:t>Ray A. Sardo</w:t>
        </w:r>
      </w:hyperlink>
      <w:r w:rsidR="004B3836">
        <w:rPr>
          <w:rFonts w:ascii="Times New Roman" w:hAnsi="Times New Roman" w:cs="Times New Roman"/>
          <w:color w:val="000000"/>
          <w:sz w:val="20"/>
          <w:szCs w:val="20"/>
        </w:rPr>
        <w:t xml:space="preserve">, Cooley LLP, San Francisco, CA; </w:t>
      </w:r>
      <w:hyperlink r:id="rId16" w:history="1">
        <w:r w:rsidR="004B3836">
          <w:rPr>
            <w:rFonts w:ascii="Times New Roman" w:hAnsi="Times New Roman" w:cs="Times New Roman"/>
            <w:color w:val="0000FF"/>
            <w:sz w:val="20"/>
            <w:szCs w:val="20"/>
          </w:rPr>
          <w:t>Lori R. Mason</w:t>
        </w:r>
      </w:hyperlink>
      <w:r w:rsidR="004B3836">
        <w:rPr>
          <w:rFonts w:ascii="Times New Roman" w:hAnsi="Times New Roman" w:cs="Times New Roman"/>
          <w:color w:val="000000"/>
          <w:sz w:val="20"/>
          <w:szCs w:val="20"/>
        </w:rPr>
        <w:t xml:space="preserve">, Cooley LLP, Palo Alto, CA; </w:t>
      </w:r>
      <w:hyperlink r:id="rId17" w:history="1">
        <w:r w:rsidR="004B3836">
          <w:rPr>
            <w:rFonts w:ascii="Times New Roman" w:hAnsi="Times New Roman" w:cs="Times New Roman"/>
            <w:color w:val="0000FF"/>
            <w:sz w:val="20"/>
            <w:szCs w:val="20"/>
          </w:rPr>
          <w:t>Michelle Doolin</w:t>
        </w:r>
      </w:hyperlink>
      <w:r w:rsidR="004B3836">
        <w:rPr>
          <w:rFonts w:ascii="Times New Roman" w:hAnsi="Times New Roman" w:cs="Times New Roman"/>
          <w:color w:val="000000"/>
          <w:sz w:val="20"/>
          <w:szCs w:val="20"/>
        </w:rPr>
        <w:t>, Cooley LLP, San Diego, CA, for Defendants–Appellees.</w:t>
      </w:r>
    </w:p>
    <w:p w:rsidR="007D5238" w:rsidRDefault="004B3836">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Appeal from the United States District Court for the Northern District of California, </w:t>
      </w:r>
      <w:hyperlink r:id="rId18" w:history="1">
        <w:r>
          <w:rPr>
            <w:rFonts w:ascii="Times New Roman" w:hAnsi="Times New Roman" w:cs="Times New Roman"/>
            <w:color w:val="0000FF"/>
            <w:sz w:val="20"/>
            <w:szCs w:val="20"/>
          </w:rPr>
          <w:t>Phyllis J. Hamilton</w:t>
        </w:r>
      </w:hyperlink>
      <w:r>
        <w:rPr>
          <w:rFonts w:ascii="Times New Roman" w:hAnsi="Times New Roman" w:cs="Times New Roman"/>
          <w:color w:val="000000"/>
          <w:sz w:val="20"/>
          <w:szCs w:val="20"/>
        </w:rPr>
        <w:t>, Chief District Judge, Presiding. D.C. No. 4:11–cv–04084–PJH.</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Before: </w:t>
      </w:r>
      <w:hyperlink r:id="rId19" w:history="1">
        <w:r>
          <w:rPr>
            <w:rFonts w:ascii="Times New Roman" w:hAnsi="Times New Roman" w:cs="Times New Roman"/>
            <w:color w:val="0000FF"/>
            <w:sz w:val="20"/>
            <w:szCs w:val="20"/>
          </w:rPr>
          <w:t>RICHARD C. TALLMAN</w:t>
        </w:r>
      </w:hyperlink>
      <w:r>
        <w:rPr>
          <w:rFonts w:ascii="Times New Roman" w:hAnsi="Times New Roman" w:cs="Times New Roman"/>
          <w:color w:val="000000"/>
          <w:sz w:val="20"/>
          <w:szCs w:val="20"/>
        </w:rPr>
        <w:t xml:space="preserve"> and </w:t>
      </w:r>
      <w:hyperlink r:id="rId20" w:history="1">
        <w:r>
          <w:rPr>
            <w:rFonts w:ascii="Times New Roman" w:hAnsi="Times New Roman" w:cs="Times New Roman"/>
            <w:color w:val="0000FF"/>
            <w:sz w:val="20"/>
            <w:szCs w:val="20"/>
          </w:rPr>
          <w:t>JOHNNIE B. RAWLINSON</w:t>
        </w:r>
      </w:hyperlink>
      <w:r>
        <w:rPr>
          <w:rFonts w:ascii="Times New Roman" w:hAnsi="Times New Roman" w:cs="Times New Roman"/>
          <w:color w:val="000000"/>
          <w:sz w:val="20"/>
          <w:szCs w:val="20"/>
        </w:rPr>
        <w:t xml:space="preserve">, Circuit Judges, and RAYMOND J. DEARIE, Senior District. </w:t>
      </w:r>
      <w:proofErr w:type="gramStart"/>
      <w:r>
        <w:rPr>
          <w:rFonts w:ascii="Times New Roman" w:hAnsi="Times New Roman" w:cs="Times New Roman"/>
          <w:color w:val="000000"/>
          <w:sz w:val="20"/>
          <w:szCs w:val="20"/>
        </w:rPr>
        <w:t>Judge.</w:t>
      </w:r>
      <w:bookmarkStart w:id="5" w:name="co_footnoteReference_B0012037077884_ID0E"/>
      <w:bookmarkEnd w:id="5"/>
      <w:proofErr w:type="gramEnd"/>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"#co_footnote_B0012037077884_1" </w:instrText>
      </w:r>
      <w:r>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w:t>
      </w:r>
      <w:r>
        <w:rPr>
          <w:rFonts w:ascii="Times New Roman" w:hAnsi="Times New Roman" w:cs="Times New Roman"/>
          <w:color w:val="000000"/>
          <w:sz w:val="16"/>
          <w:szCs w:val="16"/>
        </w:rPr>
        <w:fldChar w:fldCharType="end"/>
      </w:r>
    </w:p>
    <w:p w:rsidR="007D5238" w:rsidRDefault="007D5238">
      <w:pPr>
        <w:widowControl w:val="0"/>
        <w:autoSpaceDE w:val="0"/>
        <w:autoSpaceDN w:val="0"/>
        <w:adjustRightInd w:val="0"/>
        <w:spacing w:after="0" w:line="240" w:lineRule="auto"/>
        <w:jc w:val="both"/>
        <w:rPr>
          <w:rFonts w:ascii="Times New Roman" w:hAnsi="Times New Roman" w:cs="Times New Roman"/>
          <w:b/>
          <w:bCs/>
          <w:color w:val="252525"/>
          <w:sz w:val="20"/>
          <w:szCs w:val="20"/>
        </w:rPr>
      </w:pPr>
      <w:bookmarkStart w:id="6" w:name="co_opinion_1"/>
      <w:bookmarkEnd w:id="6"/>
    </w:p>
    <w:p w:rsidR="007D5238" w:rsidRDefault="007D523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7" w:name="co_anchor_If5e618e475ac11e598dc8b09b4f04"/>
      <w:bookmarkEnd w:id="7"/>
    </w:p>
    <w:p w:rsidR="007D5238" w:rsidRDefault="004B3836">
      <w:pPr>
        <w:widowControl w:val="0"/>
        <w:autoSpaceDE w:val="0"/>
        <w:autoSpaceDN w:val="0"/>
        <w:adjustRightInd w:val="0"/>
        <w:spacing w:before="60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OPINION</w:t>
      </w:r>
    </w:p>
    <w:p w:rsidR="007D5238" w:rsidRDefault="00776BCA">
      <w:pPr>
        <w:widowControl w:val="0"/>
        <w:autoSpaceDE w:val="0"/>
        <w:autoSpaceDN w:val="0"/>
        <w:adjustRightInd w:val="0"/>
        <w:spacing w:before="200" w:line="240" w:lineRule="auto"/>
        <w:jc w:val="both"/>
        <w:rPr>
          <w:rFonts w:ascii="Times New Roman" w:hAnsi="Times New Roman" w:cs="Times New Roman"/>
          <w:color w:val="000000"/>
          <w:sz w:val="20"/>
          <w:szCs w:val="20"/>
        </w:rPr>
      </w:pPr>
      <w:hyperlink r:id="rId21" w:history="1">
        <w:r w:rsidR="004B3836">
          <w:rPr>
            <w:rFonts w:ascii="Times New Roman" w:hAnsi="Times New Roman" w:cs="Times New Roman"/>
            <w:color w:val="0000FF"/>
            <w:sz w:val="20"/>
            <w:szCs w:val="20"/>
          </w:rPr>
          <w:t>RAWLINSON</w:t>
        </w:r>
      </w:hyperlink>
      <w:r w:rsidR="004B3836">
        <w:rPr>
          <w:rFonts w:ascii="Times New Roman" w:hAnsi="Times New Roman" w:cs="Times New Roman"/>
          <w:color w:val="000000"/>
          <w:sz w:val="20"/>
          <w:szCs w:val="20"/>
        </w:rPr>
        <w:t>, Circuit Judge:</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8" w:name="co_pp_sp_999_1_1"/>
      <w:bookmarkEnd w:id="8"/>
      <w:r>
        <w:rPr>
          <w:rFonts w:ascii="Times New Roman" w:hAnsi="Times New Roman" w:cs="Times New Roman"/>
          <w:b/>
          <w:bCs/>
          <w:color w:val="000000"/>
          <w:sz w:val="20"/>
          <w:szCs w:val="20"/>
        </w:rPr>
        <w:t>*1</w:t>
      </w:r>
      <w:r>
        <w:rPr>
          <w:rFonts w:ascii="Times New Roman" w:hAnsi="Times New Roman" w:cs="Times New Roman"/>
          <w:color w:val="000000"/>
          <w:sz w:val="20"/>
          <w:szCs w:val="20"/>
        </w:rPr>
        <w:t xml:space="preserve"> Appellant Daniel Rodriguez (Rodriguez) challenges the district court’s dismissal of his second amended complaint alleging that Appellees Sony Computer Entertainment America LLC (Sony Computer) and Sony Network Entertainment (Sony Network) International LLC (collectively Sony) violated the Video Privacy Protection Act (the Act) by retaining Rodriguez’s personally identifiable information (personal information) beyond the Act’s statutory limits, and disclosing his personal information between Sony entities. Rodriguez contends that the district court erred in concluding that the Act does not provide a private right of action to enforce its retention requirements. Rodriguez also takes issue with the district court’s conclusion that the intra-corporate disclosures were exempt from the Act’s non-disclosure requirements. We affirm the district court’s rulings.</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7D5238" w:rsidRDefault="007D523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9" w:name="co_anchor_If5e618e575ac11e598dc8b09b4f04"/>
      <w:bookmarkEnd w:id="9"/>
    </w:p>
    <w:p w:rsidR="007D5238" w:rsidRDefault="004B3836">
      <w:pPr>
        <w:widowControl w:val="0"/>
        <w:autoSpaceDE w:val="0"/>
        <w:autoSpaceDN w:val="0"/>
        <w:adjustRightInd w:val="0"/>
        <w:spacing w:before="200" w:after="0" w:line="240" w:lineRule="auto"/>
        <w:rPr>
          <w:rFonts w:ascii="Times New Roman" w:hAnsi="Times New Roman" w:cs="Times New Roman"/>
          <w:b/>
          <w:bCs/>
          <w:i/>
          <w:iCs/>
          <w:color w:val="000000"/>
          <w:sz w:val="20"/>
          <w:szCs w:val="20"/>
        </w:rPr>
      </w:pPr>
      <w:r>
        <w:rPr>
          <w:rFonts w:ascii="Times New Roman" w:hAnsi="Times New Roman" w:cs="Times New Roman"/>
          <w:b/>
          <w:bCs/>
          <w:color w:val="000000"/>
          <w:sz w:val="20"/>
          <w:szCs w:val="20"/>
        </w:rPr>
        <w:t xml:space="preserve">I. </w:t>
      </w:r>
      <w:r>
        <w:rPr>
          <w:rFonts w:ascii="Times New Roman" w:hAnsi="Times New Roman" w:cs="Times New Roman"/>
          <w:b/>
          <w:bCs/>
          <w:i/>
          <w:iCs/>
          <w:color w:val="000000"/>
          <w:sz w:val="20"/>
          <w:szCs w:val="20"/>
        </w:rPr>
        <w:t>BACKGROUND</w:t>
      </w:r>
    </w:p>
    <w:p w:rsidR="007D5238" w:rsidRDefault="004B3836">
      <w:pPr>
        <w:widowControl w:val="0"/>
        <w:autoSpaceDE w:val="0"/>
        <w:autoSpaceDN w:val="0"/>
        <w:adjustRightInd w:val="0"/>
        <w:spacing w:before="200"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A. Statutory Background</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Act was promulgated in 1988 after the Washington City Paper published Judge Robert Bork’s video rental history during his failed Supreme Court confirmation proceedings. </w:t>
      </w:r>
      <w:r>
        <w:rPr>
          <w:rFonts w:ascii="Times New Roman" w:hAnsi="Times New Roman" w:cs="Times New Roman"/>
          <w:i/>
          <w:iCs/>
          <w:color w:val="000000"/>
          <w:sz w:val="20"/>
          <w:szCs w:val="20"/>
        </w:rPr>
        <w:t xml:space="preserve">See </w:t>
      </w:r>
      <w:hyperlink r:id="rId22" w:anchor="co_pp_sp_506_1065" w:history="1">
        <w:proofErr w:type="spellStart"/>
        <w:r>
          <w:rPr>
            <w:rFonts w:ascii="Times New Roman" w:hAnsi="Times New Roman" w:cs="Times New Roman"/>
            <w:i/>
            <w:iCs/>
            <w:color w:val="0000FF"/>
            <w:sz w:val="20"/>
            <w:szCs w:val="20"/>
          </w:rPr>
          <w:t>Mollett</w:t>
        </w:r>
        <w:proofErr w:type="spellEnd"/>
        <w:r>
          <w:rPr>
            <w:rFonts w:ascii="Times New Roman" w:hAnsi="Times New Roman" w:cs="Times New Roman"/>
            <w:i/>
            <w:iCs/>
            <w:color w:val="0000FF"/>
            <w:sz w:val="20"/>
            <w:szCs w:val="20"/>
          </w:rPr>
          <w:t xml:space="preserve"> v. Netflix, Inc.,</w:t>
        </w:r>
        <w:r>
          <w:rPr>
            <w:rFonts w:ascii="Times New Roman" w:hAnsi="Times New Roman" w:cs="Times New Roman"/>
            <w:color w:val="0000FF"/>
            <w:sz w:val="20"/>
            <w:szCs w:val="20"/>
          </w:rPr>
          <w:t xml:space="preserve"> 795 F.3d 1062, 1065–66 (9th Cir.2015)</w:t>
        </w:r>
      </w:hyperlink>
      <w:r>
        <w:rPr>
          <w:rFonts w:ascii="Times New Roman" w:hAnsi="Times New Roman" w:cs="Times New Roman"/>
          <w:color w:val="000000"/>
          <w:sz w:val="20"/>
          <w:szCs w:val="20"/>
        </w:rPr>
        <w:t>.</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Act restricts a video service provider’s retention and disclosure of a consumer’s personal information. </w:t>
      </w: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w:t>
      </w:r>
      <w:hyperlink r:id="rId23" w:anchor="co_pp_a83b000018c76" w:history="1">
        <w:r>
          <w:rPr>
            <w:rFonts w:ascii="Times New Roman" w:hAnsi="Times New Roman" w:cs="Times New Roman"/>
            <w:color w:val="0000FF"/>
            <w:sz w:val="20"/>
            <w:szCs w:val="20"/>
          </w:rPr>
          <w:t>18 U.S.C. § 2710(b)</w:t>
        </w:r>
      </w:hyperlink>
      <w:r>
        <w:rPr>
          <w:rFonts w:ascii="Times New Roman" w:hAnsi="Times New Roman" w:cs="Times New Roman"/>
          <w:color w:val="000000"/>
          <w:sz w:val="20"/>
          <w:szCs w:val="20"/>
        </w:rPr>
        <w:t xml:space="preserve">. A video service provider “means any person, engaged in the business, in or affecting interstate or foreign commerce, of rental, sale, or delivery of </w:t>
      </w:r>
      <w:r>
        <w:rPr>
          <w:rFonts w:ascii="Times New Roman" w:hAnsi="Times New Roman" w:cs="Times New Roman"/>
          <w:color w:val="000000"/>
          <w:sz w:val="20"/>
          <w:szCs w:val="20"/>
        </w:rPr>
        <w:lastRenderedPageBreak/>
        <w:t xml:space="preserve">prerecorded video cassette tapes or similar audio visual materials, or any person or other entity to whom a disclosure is made ...” </w:t>
      </w:r>
      <w:hyperlink r:id="rId24" w:anchor="co_pp_3fed000053a85" w:history="1">
        <w:r>
          <w:rPr>
            <w:rFonts w:ascii="Times New Roman" w:hAnsi="Times New Roman" w:cs="Times New Roman"/>
            <w:i/>
            <w:iCs/>
            <w:color w:val="0000FF"/>
            <w:sz w:val="20"/>
            <w:szCs w:val="20"/>
          </w:rPr>
          <w:t>Id.</w:t>
        </w:r>
        <w:r>
          <w:rPr>
            <w:rFonts w:ascii="Times New Roman" w:hAnsi="Times New Roman" w:cs="Times New Roman"/>
            <w:color w:val="0000FF"/>
            <w:sz w:val="20"/>
            <w:szCs w:val="20"/>
          </w:rPr>
          <w:t xml:space="preserve"> at § 2710(b)(1)</w:t>
        </w:r>
      </w:hyperlink>
      <w:r>
        <w:rPr>
          <w:rFonts w:ascii="Times New Roman" w:hAnsi="Times New Roman" w:cs="Times New Roman"/>
          <w:color w:val="000000"/>
          <w:sz w:val="20"/>
          <w:szCs w:val="20"/>
        </w:rPr>
        <w:t xml:space="preserve">. Under the Act, a consumer is “any renter, purchaser, or subscriber of goods or services from a video tape service </w:t>
      </w:r>
      <w:proofErr w:type="gramStart"/>
      <w:r>
        <w:rPr>
          <w:rFonts w:ascii="Times New Roman" w:hAnsi="Times New Roman" w:cs="Times New Roman"/>
          <w:color w:val="000000"/>
          <w:sz w:val="20"/>
          <w:szCs w:val="20"/>
        </w:rPr>
        <w:t>provider[</w:t>
      </w:r>
      <w:proofErr w:type="gramEnd"/>
      <w:r>
        <w:rPr>
          <w:rFonts w:ascii="Times New Roman" w:hAnsi="Times New Roman" w:cs="Times New Roman"/>
          <w:color w:val="000000"/>
          <w:sz w:val="20"/>
          <w:szCs w:val="20"/>
        </w:rPr>
        <w:t xml:space="preserve">.]” </w:t>
      </w:r>
      <w:hyperlink r:id="rId25" w:anchor="co_pp_7b9b000044381" w:history="1">
        <w:r>
          <w:rPr>
            <w:rFonts w:ascii="Times New Roman" w:hAnsi="Times New Roman" w:cs="Times New Roman"/>
            <w:i/>
            <w:iCs/>
            <w:color w:val="0000FF"/>
            <w:sz w:val="20"/>
            <w:szCs w:val="20"/>
          </w:rPr>
          <w:t>Id.</w:t>
        </w:r>
        <w:r>
          <w:rPr>
            <w:rFonts w:ascii="Times New Roman" w:hAnsi="Times New Roman" w:cs="Times New Roman"/>
            <w:color w:val="0000FF"/>
            <w:sz w:val="20"/>
            <w:szCs w:val="20"/>
          </w:rPr>
          <w:t xml:space="preserve"> at § 2710(a</w:t>
        </w:r>
        <w:proofErr w:type="gramStart"/>
        <w:r>
          <w:rPr>
            <w:rFonts w:ascii="Times New Roman" w:hAnsi="Times New Roman" w:cs="Times New Roman"/>
            <w:color w:val="0000FF"/>
            <w:sz w:val="20"/>
            <w:szCs w:val="20"/>
          </w:rPr>
          <w:t>)(</w:t>
        </w:r>
        <w:proofErr w:type="gramEnd"/>
        <w:r>
          <w:rPr>
            <w:rFonts w:ascii="Times New Roman" w:hAnsi="Times New Roman" w:cs="Times New Roman"/>
            <w:color w:val="0000FF"/>
            <w:sz w:val="20"/>
            <w:szCs w:val="20"/>
          </w:rPr>
          <w:t>1)</w:t>
        </w:r>
      </w:hyperlink>
      <w:r>
        <w:rPr>
          <w:rFonts w:ascii="Times New Roman" w:hAnsi="Times New Roman" w:cs="Times New Roman"/>
          <w:color w:val="000000"/>
          <w:sz w:val="20"/>
          <w:szCs w:val="20"/>
        </w:rPr>
        <w:t xml:space="preserve">. The Act defines “personally identifiable information” as including “information which identifies a person as having requested or obtained specific video materials or services from a video tape service provider[.]” </w:t>
      </w:r>
      <w:hyperlink r:id="rId26" w:anchor="co_pp_28cc0000ccca6" w:history="1">
        <w:r>
          <w:rPr>
            <w:rFonts w:ascii="Times New Roman" w:hAnsi="Times New Roman" w:cs="Times New Roman"/>
            <w:i/>
            <w:iCs/>
            <w:color w:val="0000FF"/>
            <w:sz w:val="20"/>
            <w:szCs w:val="20"/>
          </w:rPr>
          <w:t>Id.</w:t>
        </w:r>
        <w:r>
          <w:rPr>
            <w:rFonts w:ascii="Times New Roman" w:hAnsi="Times New Roman" w:cs="Times New Roman"/>
            <w:color w:val="0000FF"/>
            <w:sz w:val="20"/>
            <w:szCs w:val="20"/>
          </w:rPr>
          <w:t xml:space="preserve"> at § 2710(a</w:t>
        </w:r>
        <w:proofErr w:type="gramStart"/>
        <w:r>
          <w:rPr>
            <w:rFonts w:ascii="Times New Roman" w:hAnsi="Times New Roman" w:cs="Times New Roman"/>
            <w:color w:val="0000FF"/>
            <w:sz w:val="20"/>
            <w:szCs w:val="20"/>
          </w:rPr>
          <w:t>)(</w:t>
        </w:r>
        <w:proofErr w:type="gramEnd"/>
        <w:r>
          <w:rPr>
            <w:rFonts w:ascii="Times New Roman" w:hAnsi="Times New Roman" w:cs="Times New Roman"/>
            <w:color w:val="0000FF"/>
            <w:sz w:val="20"/>
            <w:szCs w:val="20"/>
          </w:rPr>
          <w:t>3)</w:t>
        </w:r>
      </w:hyperlink>
      <w:r>
        <w:rPr>
          <w:rFonts w:ascii="Times New Roman" w:hAnsi="Times New Roman" w:cs="Times New Roman"/>
          <w:color w:val="000000"/>
          <w:sz w:val="20"/>
          <w:szCs w:val="20"/>
        </w:rPr>
        <w:t>. With respect to the retention of a consumer’s personal information, the Act mandates that:</w:t>
      </w:r>
    </w:p>
    <w:p w:rsidR="007D5238" w:rsidRDefault="004B3836">
      <w:pPr>
        <w:widowControl w:val="0"/>
        <w:autoSpaceDE w:val="0"/>
        <w:autoSpaceDN w:val="0"/>
        <w:adjustRightInd w:val="0"/>
        <w:spacing w:before="250" w:after="50" w:line="240" w:lineRule="auto"/>
        <w:ind w:left="1000" w:right="800"/>
        <w:jc w:val="both"/>
        <w:rPr>
          <w:rFonts w:ascii="Times New Roman" w:hAnsi="Times New Roman" w:cs="Times New Roman"/>
          <w:color w:val="000000"/>
          <w:sz w:val="20"/>
          <w:szCs w:val="20"/>
        </w:rPr>
      </w:pPr>
      <w:r>
        <w:rPr>
          <w:rFonts w:ascii="Times New Roman" w:hAnsi="Times New Roman" w:cs="Times New Roman"/>
          <w:color w:val="000000"/>
          <w:sz w:val="20"/>
          <w:szCs w:val="20"/>
        </w:rPr>
        <w:t>A person subject to this section shall destroy personally identifiable information as soon as practicable, but no later than one year from the date the information is no longer necessary for the purpose for which it was collected and there are no pending requests or orders for access to such information under subsection (b</w:t>
      </w:r>
      <w:proofErr w:type="gramStart"/>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2) or (c)(2) or pursuant to a court order.</w:t>
      </w:r>
    </w:p>
    <w:p w:rsidR="007D5238" w:rsidRDefault="00776BCA">
      <w:pPr>
        <w:widowControl w:val="0"/>
        <w:autoSpaceDE w:val="0"/>
        <w:autoSpaceDN w:val="0"/>
        <w:adjustRightInd w:val="0"/>
        <w:spacing w:before="200" w:after="0" w:line="240" w:lineRule="auto"/>
        <w:jc w:val="both"/>
        <w:rPr>
          <w:rFonts w:ascii="Times New Roman" w:hAnsi="Times New Roman" w:cs="Times New Roman"/>
          <w:color w:val="000000"/>
          <w:sz w:val="20"/>
          <w:szCs w:val="20"/>
        </w:rPr>
      </w:pPr>
      <w:hyperlink r:id="rId27" w:anchor="co_pp_7fdd00001ca15" w:history="1">
        <w:proofErr w:type="gramStart"/>
        <w:r w:rsidR="004B3836">
          <w:rPr>
            <w:rFonts w:ascii="Times New Roman" w:hAnsi="Times New Roman" w:cs="Times New Roman"/>
            <w:i/>
            <w:iCs/>
            <w:color w:val="0000FF"/>
            <w:sz w:val="20"/>
            <w:szCs w:val="20"/>
          </w:rPr>
          <w:t>Id.</w:t>
        </w:r>
        <w:r w:rsidR="004B3836">
          <w:rPr>
            <w:rFonts w:ascii="Times New Roman" w:hAnsi="Times New Roman" w:cs="Times New Roman"/>
            <w:color w:val="0000FF"/>
            <w:sz w:val="20"/>
            <w:szCs w:val="20"/>
          </w:rPr>
          <w:t xml:space="preserve"> at § 2710(e)</w:t>
        </w:r>
      </w:hyperlink>
      <w:r w:rsidR="004B3836">
        <w:rPr>
          <w:rFonts w:ascii="Times New Roman" w:hAnsi="Times New Roman" w:cs="Times New Roman"/>
          <w:color w:val="000000"/>
          <w:sz w:val="20"/>
          <w:szCs w:val="20"/>
        </w:rPr>
        <w:t>.</w:t>
      </w:r>
      <w:proofErr w:type="gramEnd"/>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The Act also imposes liability for unlawful disclosure of a consumer’s personal information:</w:t>
      </w:r>
    </w:p>
    <w:p w:rsidR="007D5238" w:rsidRDefault="004B3836">
      <w:pPr>
        <w:widowControl w:val="0"/>
        <w:autoSpaceDE w:val="0"/>
        <w:autoSpaceDN w:val="0"/>
        <w:adjustRightInd w:val="0"/>
        <w:spacing w:after="0" w:line="240" w:lineRule="auto"/>
        <w:ind w:left="1000" w:right="800"/>
        <w:jc w:val="both"/>
        <w:rPr>
          <w:rFonts w:ascii="Times New Roman" w:hAnsi="Times New Roman" w:cs="Times New Roman"/>
          <w:color w:val="000000"/>
          <w:sz w:val="16"/>
          <w:szCs w:val="16"/>
        </w:rPr>
      </w:pPr>
      <w:r>
        <w:rPr>
          <w:rFonts w:ascii="Times New Roman" w:hAnsi="Times New Roman" w:cs="Times New Roman"/>
          <w:color w:val="000000"/>
          <w:sz w:val="20"/>
          <w:szCs w:val="20"/>
        </w:rPr>
        <w:t>(1) A video tape service provider who knowingly discloses, to any person, personally identifiable information concerning any consumer of such provider shall be liable to the aggrieved person for the relief provided in subsection (d).</w:t>
      </w:r>
      <w:bookmarkStart w:id="10" w:name="co_footnoteReference_B00212037077884_ID0"/>
      <w:bookmarkEnd w:id="1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"#co_footnote_B00212037077884_1" </w:instrText>
      </w:r>
      <w:r>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1</w:t>
      </w:r>
      <w:r>
        <w:rPr>
          <w:rFonts w:ascii="Times New Roman" w:hAnsi="Times New Roman" w:cs="Times New Roman"/>
          <w:color w:val="000000"/>
          <w:sz w:val="16"/>
          <w:szCs w:val="16"/>
        </w:rPr>
        <w:fldChar w:fldCharType="end"/>
      </w:r>
    </w:p>
    <w:p w:rsidR="007D5238" w:rsidRDefault="00776BCA">
      <w:pPr>
        <w:widowControl w:val="0"/>
        <w:autoSpaceDE w:val="0"/>
        <w:autoSpaceDN w:val="0"/>
        <w:adjustRightInd w:val="0"/>
        <w:spacing w:before="200" w:after="0" w:line="240" w:lineRule="auto"/>
        <w:jc w:val="both"/>
        <w:rPr>
          <w:rFonts w:ascii="Times New Roman" w:hAnsi="Times New Roman" w:cs="Times New Roman"/>
          <w:color w:val="000000"/>
          <w:sz w:val="20"/>
          <w:szCs w:val="20"/>
        </w:rPr>
      </w:pPr>
      <w:hyperlink r:id="rId28" w:anchor="co_pp_a83b000018c76" w:history="1">
        <w:proofErr w:type="gramStart"/>
        <w:r w:rsidR="004B3836">
          <w:rPr>
            <w:rFonts w:ascii="Times New Roman" w:hAnsi="Times New Roman" w:cs="Times New Roman"/>
            <w:i/>
            <w:iCs/>
            <w:color w:val="0000FF"/>
            <w:sz w:val="20"/>
            <w:szCs w:val="20"/>
          </w:rPr>
          <w:t>Id.</w:t>
        </w:r>
        <w:r w:rsidR="004B3836">
          <w:rPr>
            <w:rFonts w:ascii="Times New Roman" w:hAnsi="Times New Roman" w:cs="Times New Roman"/>
            <w:color w:val="0000FF"/>
            <w:sz w:val="20"/>
            <w:szCs w:val="20"/>
          </w:rPr>
          <w:t xml:space="preserve"> at § 2710(b)</w:t>
        </w:r>
      </w:hyperlink>
      <w:r w:rsidR="004B3836">
        <w:rPr>
          <w:rFonts w:ascii="Times New Roman" w:hAnsi="Times New Roman" w:cs="Times New Roman"/>
          <w:color w:val="000000"/>
          <w:sz w:val="20"/>
          <w:szCs w:val="20"/>
        </w:rPr>
        <w:t>.</w:t>
      </w:r>
      <w:proofErr w:type="gramEnd"/>
      <w:r w:rsidR="004B3836">
        <w:rPr>
          <w:rFonts w:ascii="Times New Roman" w:hAnsi="Times New Roman" w:cs="Times New Roman"/>
          <w:color w:val="000000"/>
          <w:sz w:val="20"/>
          <w:szCs w:val="20"/>
        </w:rPr>
        <w:t xml:space="preserve"> The Act also provides that “[a]</w:t>
      </w:r>
      <w:proofErr w:type="spellStart"/>
      <w:r w:rsidR="004B3836">
        <w:rPr>
          <w:rFonts w:ascii="Times New Roman" w:hAnsi="Times New Roman" w:cs="Times New Roman"/>
          <w:color w:val="000000"/>
          <w:sz w:val="20"/>
          <w:szCs w:val="20"/>
        </w:rPr>
        <w:t>ny</w:t>
      </w:r>
      <w:proofErr w:type="spellEnd"/>
      <w:r w:rsidR="004B3836">
        <w:rPr>
          <w:rFonts w:ascii="Times New Roman" w:hAnsi="Times New Roman" w:cs="Times New Roman"/>
          <w:color w:val="000000"/>
          <w:sz w:val="20"/>
          <w:szCs w:val="20"/>
        </w:rPr>
        <w:t xml:space="preserve"> person aggrieved by any act of a person in violation of this section may bring a civil action in a United States district court.” </w:t>
      </w:r>
      <w:hyperlink r:id="rId29" w:anchor="co_pp_4b24000003ba5" w:history="1">
        <w:r w:rsidR="004B3836">
          <w:rPr>
            <w:rFonts w:ascii="Times New Roman" w:hAnsi="Times New Roman" w:cs="Times New Roman"/>
            <w:color w:val="0000FF"/>
            <w:sz w:val="20"/>
            <w:szCs w:val="20"/>
          </w:rPr>
          <w:t>18 U.S.C. § 2710(c)</w:t>
        </w:r>
      </w:hyperlink>
      <w:r w:rsidR="004B3836">
        <w:rPr>
          <w:rFonts w:ascii="Times New Roman" w:hAnsi="Times New Roman" w:cs="Times New Roman"/>
          <w:color w:val="000000"/>
          <w:sz w:val="20"/>
          <w:szCs w:val="20"/>
        </w:rPr>
        <w:t>.</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1" w:name="co_pp_sp_999_2_1"/>
      <w:bookmarkEnd w:id="11"/>
      <w:r>
        <w:rPr>
          <w:rFonts w:ascii="Times New Roman" w:hAnsi="Times New Roman" w:cs="Times New Roman"/>
          <w:b/>
          <w:bCs/>
          <w:color w:val="000000"/>
          <w:sz w:val="20"/>
          <w:szCs w:val="20"/>
        </w:rPr>
        <w:t>*2</w:t>
      </w:r>
      <w:r>
        <w:rPr>
          <w:rFonts w:ascii="Times New Roman" w:hAnsi="Times New Roman" w:cs="Times New Roman"/>
          <w:color w:val="000000"/>
          <w:sz w:val="20"/>
          <w:szCs w:val="20"/>
        </w:rPr>
        <w:t xml:space="preserve"> Relevant to the present appeal, video service providers are exempt from liability for disclosure “if the disclosure is incident to the ordinary course of business of the video tape service provider[.]” </w:t>
      </w:r>
      <w:hyperlink r:id="rId30" w:anchor="co_pp_f7fb0000553d1" w:history="1">
        <w:r>
          <w:rPr>
            <w:rFonts w:ascii="Times New Roman" w:hAnsi="Times New Roman" w:cs="Times New Roman"/>
            <w:color w:val="0000FF"/>
            <w:sz w:val="20"/>
            <w:szCs w:val="20"/>
          </w:rPr>
          <w:t>18 U.S.C. § 2710(b)(2)(E)</w:t>
        </w:r>
      </w:hyperlink>
      <w:r>
        <w:rPr>
          <w:rFonts w:ascii="Times New Roman" w:hAnsi="Times New Roman" w:cs="Times New Roman"/>
          <w:color w:val="000000"/>
          <w:sz w:val="20"/>
          <w:szCs w:val="20"/>
        </w:rPr>
        <w:t xml:space="preserve">. The Act defines “ordinary course of business” as “debt collection activities, order fulfillment, request processing, and the transfer of </w:t>
      </w:r>
      <w:proofErr w:type="gramStart"/>
      <w:r>
        <w:rPr>
          <w:rFonts w:ascii="Times New Roman" w:hAnsi="Times New Roman" w:cs="Times New Roman"/>
          <w:color w:val="000000"/>
          <w:sz w:val="20"/>
          <w:szCs w:val="20"/>
        </w:rPr>
        <w:t>ownership[</w:t>
      </w:r>
      <w:proofErr w:type="gramEnd"/>
      <w:r>
        <w:rPr>
          <w:rFonts w:ascii="Times New Roman" w:hAnsi="Times New Roman" w:cs="Times New Roman"/>
          <w:color w:val="000000"/>
          <w:sz w:val="20"/>
          <w:szCs w:val="20"/>
        </w:rPr>
        <w:t xml:space="preserve">.]” </w:t>
      </w:r>
      <w:hyperlink r:id="rId31" w:anchor="co_pp_d86d0000be040" w:history="1">
        <w:r>
          <w:rPr>
            <w:rFonts w:ascii="Times New Roman" w:hAnsi="Times New Roman" w:cs="Times New Roman"/>
            <w:i/>
            <w:iCs/>
            <w:color w:val="0000FF"/>
            <w:sz w:val="20"/>
            <w:szCs w:val="20"/>
          </w:rPr>
          <w:t>Id.</w:t>
        </w:r>
        <w:r>
          <w:rPr>
            <w:rFonts w:ascii="Times New Roman" w:hAnsi="Times New Roman" w:cs="Times New Roman"/>
            <w:color w:val="0000FF"/>
            <w:sz w:val="20"/>
            <w:szCs w:val="20"/>
          </w:rPr>
          <w:t xml:space="preserve"> at § 2710(a</w:t>
        </w:r>
        <w:proofErr w:type="gramStart"/>
        <w:r>
          <w:rPr>
            <w:rFonts w:ascii="Times New Roman" w:hAnsi="Times New Roman" w:cs="Times New Roman"/>
            <w:color w:val="0000FF"/>
            <w:sz w:val="20"/>
            <w:szCs w:val="20"/>
          </w:rPr>
          <w:t>)(</w:t>
        </w:r>
        <w:proofErr w:type="gramEnd"/>
        <w:r>
          <w:rPr>
            <w:rFonts w:ascii="Times New Roman" w:hAnsi="Times New Roman" w:cs="Times New Roman"/>
            <w:color w:val="0000FF"/>
            <w:sz w:val="20"/>
            <w:szCs w:val="20"/>
          </w:rPr>
          <w:t>2)</w:t>
        </w:r>
      </w:hyperlink>
      <w:r>
        <w:rPr>
          <w:rFonts w:ascii="Times New Roman" w:hAnsi="Times New Roman" w:cs="Times New Roman"/>
          <w:color w:val="000000"/>
          <w:sz w:val="20"/>
          <w:szCs w:val="20"/>
        </w:rPr>
        <w:t>.</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7D5238" w:rsidRDefault="007D523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2" w:name="co_anchor_If5e618e675ac11e598dc8b09b4f04"/>
      <w:bookmarkEnd w:id="12"/>
    </w:p>
    <w:p w:rsidR="007D5238" w:rsidRDefault="004B3836">
      <w:pPr>
        <w:widowControl w:val="0"/>
        <w:autoSpaceDE w:val="0"/>
        <w:autoSpaceDN w:val="0"/>
        <w:adjustRightInd w:val="0"/>
        <w:spacing w:before="200"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B. Rodriguez’s Claims </w:t>
      </w:r>
      <w:proofErr w:type="gramStart"/>
      <w:r>
        <w:rPr>
          <w:rFonts w:ascii="Times New Roman" w:hAnsi="Times New Roman" w:cs="Times New Roman"/>
          <w:b/>
          <w:bCs/>
          <w:color w:val="000000"/>
          <w:sz w:val="20"/>
          <w:szCs w:val="20"/>
        </w:rPr>
        <w:t>Under</w:t>
      </w:r>
      <w:proofErr w:type="gramEnd"/>
      <w:r>
        <w:rPr>
          <w:rFonts w:ascii="Times New Roman" w:hAnsi="Times New Roman" w:cs="Times New Roman"/>
          <w:b/>
          <w:bCs/>
          <w:color w:val="000000"/>
          <w:sz w:val="20"/>
          <w:szCs w:val="20"/>
        </w:rPr>
        <w:t xml:space="preserve"> the Act</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There have been several permutations of Rodriguez’s claims against various Sony entities premised on the </w:t>
      </w:r>
      <w:r>
        <w:rPr>
          <w:rFonts w:ascii="Times New Roman" w:hAnsi="Times New Roman" w:cs="Times New Roman"/>
          <w:color w:val="000000"/>
          <w:sz w:val="20"/>
          <w:szCs w:val="20"/>
        </w:rPr>
        <w:lastRenderedPageBreak/>
        <w:t>provisions of the Act. In his original class action complaint, Rodriguez alleged that Sony Computer, as a video service provider, violated the Act by maintaining and storing its customers’ personal information rather than destroying the information no later than one year after it was collected. Rodriguez averred that, in 2008, he was a registered user of Sony’s PlayStation Network, which provides online gaming and video services streamed to a customer’s television. Rodriguez rented and purchased several video games and movies through the PlayStation Network in 2009, but did not purchase or rent any movies after Sony modified its streaming system in April, 2010. According to Rodriguez, Sony continued to store his personal information relating to the movies that he had rented and purchased in violation of the Act’s time limits for the storage of such information. Based on these allegations, Rodriguez sought statutory and punitive damages, as well as injunctive relief and attorneys’ fees.</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Sony sought dismissal of Rodriguez’s complaint on the basis that Rodriguez lacked standing to pursue his claims under the Act, and failed to properly allege any injury-in-fact. Sony also maintained that Rodriguez consented to Sony’s retention of his information pursuant to Sony’s terms of service and privacy policy.</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In response, Rodriguez filed a first amended class action complaint adding Sony Network as a defendant, and ten John Doe defendants. Rodriguez asserted that, subsequent to his registration as a PlayStation Network customer, Sony Network assumed control over the PlayStation Network and its related services. Rodriguez alleged that Sony Computer and Sony Network violated the Act when they impermissibly shared Rodriguez’s personal information with each other during the change in Sony’s operations.</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Rodriguez also alleged that Sony Network’s utilization of his personal information for “marketing purposes and demographic studies” demonstrated that his personal information had monetary value and that he never entered into an agreement permitting use of his personal information for these purposes. Rodriguez sought damages and injunctive relief.</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Sony filed a motion to dismiss Rodriguez’s first amended </w:t>
      </w:r>
      <w:proofErr w:type="gramStart"/>
      <w:r>
        <w:rPr>
          <w:rFonts w:ascii="Times New Roman" w:hAnsi="Times New Roman" w:cs="Times New Roman"/>
          <w:color w:val="000000"/>
          <w:sz w:val="20"/>
          <w:szCs w:val="20"/>
        </w:rPr>
        <w:t>complaint</w:t>
      </w:r>
      <w:proofErr w:type="gramEnd"/>
      <w:r>
        <w:rPr>
          <w:rFonts w:ascii="Times New Roman" w:hAnsi="Times New Roman" w:cs="Times New Roman"/>
          <w:color w:val="000000"/>
          <w:sz w:val="20"/>
          <w:szCs w:val="20"/>
        </w:rPr>
        <w:t xml:space="preserve">, which the district court granted. The district court dismissed with prejudice Rodriguez’s claim premised on retention of his personal information because the Act does not provide a private right of action for retention of information. The district court also dismissed with prejudice Rodriguez’s unlawful disclosure claim because the Act permits disclosure of personal information between related corporate entities during the ordinary </w:t>
      </w:r>
      <w:r>
        <w:rPr>
          <w:rFonts w:ascii="Times New Roman" w:hAnsi="Times New Roman" w:cs="Times New Roman"/>
          <w:color w:val="000000"/>
          <w:sz w:val="20"/>
          <w:szCs w:val="20"/>
        </w:rPr>
        <w:lastRenderedPageBreak/>
        <w:t>course of business. The district court held that the disclosures by Sony Computer and Sony Network were permitted because the disclosures occurred during the transfer of operations. The district court also concluded that Rodriguez failed to allege any unlawful disclosures to the Doe defendants. The district court dismissed Rodriguez’s unlawful disclosure claim with prejudice as it related to Sony Computer and Sony Network, but granted leave to amend regarding the Doe defendants.</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3" w:name="co_pp_sp_999_3_1"/>
      <w:bookmarkEnd w:id="13"/>
      <w:r>
        <w:rPr>
          <w:rFonts w:ascii="Times New Roman" w:hAnsi="Times New Roman" w:cs="Times New Roman"/>
          <w:b/>
          <w:bCs/>
          <w:color w:val="000000"/>
          <w:sz w:val="20"/>
          <w:szCs w:val="20"/>
        </w:rPr>
        <w:t>*3</w:t>
      </w:r>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Despite</w:t>
      </w:r>
      <w:proofErr w:type="gramEnd"/>
      <w:r>
        <w:rPr>
          <w:rFonts w:ascii="Times New Roman" w:hAnsi="Times New Roman" w:cs="Times New Roman"/>
          <w:color w:val="000000"/>
          <w:sz w:val="20"/>
          <w:szCs w:val="20"/>
        </w:rPr>
        <w:t xml:space="preserve"> the limitations imposed by the district court’s dismissal order, Rodriguez filed a second amended class action complaint with significantly revamped claims. Rodriguez alleged that, between 2009 and 2011, he rented movies from Sony Computer, but had not rented or purchased any movies since August 28, 2011. Rodriguez averred that, although Sony Network assumed management over the PlayStation Network in 2011, “the change in management did not involve any transfer of ownership ...” According to Rodriguez, Sony Computer’s disclosure of his personal information occurred prior to the change in management.</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Rodriguez’s original claim based on violations of the Act was restated as three claims premised on unlawful retention, unlawful disclosure, and a newly minted breach of contract claim. In support of his claim for unlawful retention, Rodriguez alleged that Sony Computer and Sony Network retained his personal information for an indefinite period of time in violation of the Act and lacked policies for the timely destruction of this information. Rodriguez asserted that he was injured because the unlawful retention was a violation of his privacy rights and he suffered economic damages stemming from Sony’s unauthorized use of his personal information. According to the Complaint, Rodriguez incurred monetary damages because a portion of the purchase price for each movie or video game “was intended to pay for [Sony Computer’s] costs in timely destroying [customers’ personal information]....” Rodriguez alleged that he overpaid for his movie purchases because the purchase or rental prices included costs associated with compliance with the Act. Rodriguez also asserted that he was entitled to relief pursuant to the Stored Communications Act for Sony’s willful and intentional violations.</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For his unlawful disclosure claim, Rodriguez alleged that Sony Computer disclosed without consent Rodriguez’s personal information to Sony Network prior to the transfer of management in September, 2011. Rodriguez stated that these disclosures deprived him of control over his personal information and his ability to market that information for his own financial gain.</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In support of his breach of contract claim, Rodriguez asserted that he entered into a binding contract with Sony Computer for the purchase and rental of video games and movies. According to Rodriguez, Sony Computer and Sony Network breached this contract that incorporated the Act’s retention requirements, resulting in actual damages.</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The district court again granted Sony’s motion to dismiss. The district court observed that, despite the prior dismissal of Rodriguez’s unlawful retention claim with prejudice, Rodriguez’s claim “has resurfaced in a variety of different packages....” The district court determined that Rodriguez could not reshape his dismissed unlawful retention claim as a breach of contract claim because he failed to identify any agreement memorializing the Act’s requirements as contractual obligations. The district court also held that dismissal of Rodriguez’s unlawful disclosure claim was warranted because leave to amend was granted only as to any unlawful disclosures made to the Doe defendants.</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4" w:name="co_pp_sp_999_4_1"/>
      <w:bookmarkEnd w:id="14"/>
      <w:r>
        <w:rPr>
          <w:rFonts w:ascii="Times New Roman" w:hAnsi="Times New Roman" w:cs="Times New Roman"/>
          <w:b/>
          <w:bCs/>
          <w:color w:val="000000"/>
          <w:sz w:val="20"/>
          <w:szCs w:val="20"/>
        </w:rPr>
        <w:t>*4</w:t>
      </w:r>
      <w:r>
        <w:rPr>
          <w:rFonts w:ascii="Times New Roman" w:hAnsi="Times New Roman" w:cs="Times New Roman"/>
          <w:color w:val="000000"/>
          <w:sz w:val="20"/>
          <w:szCs w:val="20"/>
        </w:rPr>
        <w:t xml:space="preserve"> Rodriguez filed a timely notice of appeal.</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7D5238" w:rsidRDefault="007D523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5" w:name="co_anchor_If5e618e775ac11e598dc8b09b4f04"/>
      <w:bookmarkEnd w:id="15"/>
    </w:p>
    <w:p w:rsidR="007D5238" w:rsidRDefault="004B3836">
      <w:pPr>
        <w:widowControl w:val="0"/>
        <w:autoSpaceDE w:val="0"/>
        <w:autoSpaceDN w:val="0"/>
        <w:adjustRightInd w:val="0"/>
        <w:spacing w:before="200" w:after="0" w:line="240" w:lineRule="auto"/>
        <w:rPr>
          <w:rFonts w:ascii="Times New Roman" w:hAnsi="Times New Roman" w:cs="Times New Roman"/>
          <w:b/>
          <w:bCs/>
          <w:i/>
          <w:iCs/>
          <w:color w:val="000000"/>
          <w:sz w:val="20"/>
          <w:szCs w:val="20"/>
        </w:rPr>
      </w:pPr>
      <w:r>
        <w:rPr>
          <w:rFonts w:ascii="Times New Roman" w:hAnsi="Times New Roman" w:cs="Times New Roman"/>
          <w:b/>
          <w:bCs/>
          <w:color w:val="000000"/>
          <w:sz w:val="20"/>
          <w:szCs w:val="20"/>
        </w:rPr>
        <w:t xml:space="preserve">II. </w:t>
      </w:r>
      <w:r>
        <w:rPr>
          <w:rFonts w:ascii="Times New Roman" w:hAnsi="Times New Roman" w:cs="Times New Roman"/>
          <w:b/>
          <w:bCs/>
          <w:i/>
          <w:iCs/>
          <w:color w:val="000000"/>
          <w:sz w:val="20"/>
          <w:szCs w:val="20"/>
        </w:rPr>
        <w:t>STANDARDS OF REVIEW</w:t>
      </w:r>
    </w:p>
    <w:p w:rsidR="007D5238" w:rsidRDefault="00776BCA">
      <w:pPr>
        <w:widowControl w:val="0"/>
        <w:autoSpaceDE w:val="0"/>
        <w:autoSpaceDN w:val="0"/>
        <w:adjustRightInd w:val="0"/>
        <w:spacing w:after="0" w:line="240" w:lineRule="auto"/>
        <w:jc w:val="both"/>
        <w:rPr>
          <w:rFonts w:ascii="Times New Roman" w:hAnsi="Times New Roman" w:cs="Times New Roman"/>
          <w:color w:val="000000"/>
          <w:sz w:val="20"/>
          <w:szCs w:val="20"/>
        </w:rPr>
      </w:pPr>
      <w:hyperlink w:anchor="co_anchor_F12037077884_1" w:history="1">
        <w:r w:rsidR="004B3836">
          <w:rPr>
            <w:rFonts w:ascii="Times New Roman" w:hAnsi="Times New Roman" w:cs="Times New Roman"/>
            <w:b/>
            <w:bCs/>
            <w:color w:val="252525"/>
            <w:sz w:val="20"/>
            <w:szCs w:val="20"/>
            <w:vertAlign w:val="superscript"/>
          </w:rPr>
          <w:t>[1]</w:t>
        </w:r>
      </w:hyperlink>
      <w:bookmarkStart w:id="16" w:name="co_anchor_B12037077884_1"/>
      <w:bookmarkEnd w:id="16"/>
      <w:r w:rsidR="004B3836">
        <w:rPr>
          <w:rFonts w:ascii="Times New Roman" w:hAnsi="Times New Roman" w:cs="Times New Roman"/>
          <w:color w:val="000000"/>
          <w:sz w:val="20"/>
          <w:szCs w:val="20"/>
        </w:rPr>
        <w:t xml:space="preserve"> “We review </w:t>
      </w:r>
      <w:r w:rsidR="004B3836">
        <w:rPr>
          <w:rFonts w:ascii="Times New Roman" w:hAnsi="Times New Roman" w:cs="Times New Roman"/>
          <w:i/>
          <w:iCs/>
          <w:color w:val="000000"/>
          <w:sz w:val="20"/>
          <w:szCs w:val="20"/>
        </w:rPr>
        <w:t>de novo</w:t>
      </w:r>
      <w:r w:rsidR="004B3836">
        <w:rPr>
          <w:rFonts w:ascii="Times New Roman" w:hAnsi="Times New Roman" w:cs="Times New Roman"/>
          <w:color w:val="000000"/>
          <w:sz w:val="20"/>
          <w:szCs w:val="20"/>
        </w:rPr>
        <w:t xml:space="preserve"> the district court’s dismissal of [Rodriguez’s] Amended Complaint under </w:t>
      </w:r>
      <w:hyperlink r:id="rId32" w:history="1">
        <w:r w:rsidR="004B3836">
          <w:rPr>
            <w:rFonts w:ascii="Times New Roman" w:hAnsi="Times New Roman" w:cs="Times New Roman"/>
            <w:color w:val="0000FF"/>
            <w:sz w:val="20"/>
            <w:szCs w:val="20"/>
          </w:rPr>
          <w:t>Federal Rule of Civil Procedure 12(b)(6)</w:t>
        </w:r>
      </w:hyperlink>
      <w:r w:rsidR="004B3836">
        <w:rPr>
          <w:rFonts w:ascii="Times New Roman" w:hAnsi="Times New Roman" w:cs="Times New Roman"/>
          <w:color w:val="000000"/>
          <w:sz w:val="20"/>
          <w:szCs w:val="20"/>
        </w:rPr>
        <w:t xml:space="preserve"> and accept all factual allegations in the Amended Complaint as true.” </w:t>
      </w:r>
      <w:hyperlink r:id="rId33" w:anchor="co_pp_sp_506_603" w:history="1">
        <w:r w:rsidR="004B3836">
          <w:rPr>
            <w:rFonts w:ascii="Times New Roman" w:hAnsi="Times New Roman" w:cs="Times New Roman"/>
            <w:i/>
            <w:iCs/>
            <w:color w:val="0000FF"/>
            <w:sz w:val="20"/>
            <w:szCs w:val="20"/>
          </w:rPr>
          <w:t xml:space="preserve">Or. </w:t>
        </w:r>
        <w:proofErr w:type="gramStart"/>
        <w:r w:rsidR="004B3836">
          <w:rPr>
            <w:rFonts w:ascii="Times New Roman" w:hAnsi="Times New Roman" w:cs="Times New Roman"/>
            <w:i/>
            <w:iCs/>
            <w:color w:val="0000FF"/>
            <w:sz w:val="20"/>
            <w:szCs w:val="20"/>
          </w:rPr>
          <w:t>Pub.</w:t>
        </w:r>
        <w:proofErr w:type="gramEnd"/>
        <w:r w:rsidR="004B3836">
          <w:rPr>
            <w:rFonts w:ascii="Times New Roman" w:hAnsi="Times New Roman" w:cs="Times New Roman"/>
            <w:i/>
            <w:iCs/>
            <w:color w:val="0000FF"/>
            <w:sz w:val="20"/>
            <w:szCs w:val="20"/>
          </w:rPr>
          <w:t xml:space="preserve"> </w:t>
        </w:r>
        <w:proofErr w:type="spellStart"/>
        <w:proofErr w:type="gramStart"/>
        <w:r w:rsidR="004B3836">
          <w:rPr>
            <w:rFonts w:ascii="Times New Roman" w:hAnsi="Times New Roman" w:cs="Times New Roman"/>
            <w:i/>
            <w:iCs/>
            <w:color w:val="0000FF"/>
            <w:sz w:val="20"/>
            <w:szCs w:val="20"/>
          </w:rPr>
          <w:t>Emps</w:t>
        </w:r>
        <w:proofErr w:type="spellEnd"/>
        <w:r w:rsidR="004B3836">
          <w:rPr>
            <w:rFonts w:ascii="Times New Roman" w:hAnsi="Times New Roman" w:cs="Times New Roman"/>
            <w:i/>
            <w:iCs/>
            <w:color w:val="0000FF"/>
            <w:sz w:val="20"/>
            <w:szCs w:val="20"/>
          </w:rPr>
          <w:t>.</w:t>
        </w:r>
        <w:proofErr w:type="gramEnd"/>
        <w:r w:rsidR="004B3836">
          <w:rPr>
            <w:rFonts w:ascii="Times New Roman" w:hAnsi="Times New Roman" w:cs="Times New Roman"/>
            <w:i/>
            <w:iCs/>
            <w:color w:val="0000FF"/>
            <w:sz w:val="20"/>
            <w:szCs w:val="20"/>
          </w:rPr>
          <w:t xml:space="preserve"> </w:t>
        </w:r>
        <w:proofErr w:type="gramStart"/>
        <w:r w:rsidR="004B3836">
          <w:rPr>
            <w:rFonts w:ascii="Times New Roman" w:hAnsi="Times New Roman" w:cs="Times New Roman"/>
            <w:i/>
            <w:iCs/>
            <w:color w:val="0000FF"/>
            <w:sz w:val="20"/>
            <w:szCs w:val="20"/>
          </w:rPr>
          <w:t>Ret. Fund v. Apollo Grp. Inc.,</w:t>
        </w:r>
        <w:r w:rsidR="004B3836">
          <w:rPr>
            <w:rFonts w:ascii="Times New Roman" w:hAnsi="Times New Roman" w:cs="Times New Roman"/>
            <w:color w:val="0000FF"/>
            <w:sz w:val="20"/>
            <w:szCs w:val="20"/>
          </w:rPr>
          <w:t xml:space="preserve"> 774 F.3d 598, 603 (9th Cir.2014)</w:t>
        </w:r>
      </w:hyperlink>
      <w:r w:rsidR="004B3836">
        <w:rPr>
          <w:rFonts w:ascii="Times New Roman" w:hAnsi="Times New Roman" w:cs="Times New Roman"/>
          <w:color w:val="000000"/>
          <w:sz w:val="20"/>
          <w:szCs w:val="20"/>
        </w:rPr>
        <w:t xml:space="preserve"> (citation omitted).</w:t>
      </w:r>
      <w:proofErr w:type="gramEnd"/>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7D5238" w:rsidRDefault="00776BCA">
      <w:pPr>
        <w:widowControl w:val="0"/>
        <w:autoSpaceDE w:val="0"/>
        <w:autoSpaceDN w:val="0"/>
        <w:adjustRightInd w:val="0"/>
        <w:spacing w:after="0" w:line="240" w:lineRule="auto"/>
        <w:jc w:val="both"/>
        <w:rPr>
          <w:rFonts w:ascii="Times New Roman" w:hAnsi="Times New Roman" w:cs="Times New Roman"/>
          <w:color w:val="000000"/>
          <w:sz w:val="20"/>
          <w:szCs w:val="20"/>
        </w:rPr>
      </w:pPr>
      <w:hyperlink w:anchor="co_anchor_F22037077884_1" w:history="1">
        <w:r w:rsidR="004B3836">
          <w:rPr>
            <w:rFonts w:ascii="Times New Roman" w:hAnsi="Times New Roman" w:cs="Times New Roman"/>
            <w:b/>
            <w:bCs/>
            <w:color w:val="252525"/>
            <w:sz w:val="20"/>
            <w:szCs w:val="20"/>
            <w:vertAlign w:val="superscript"/>
          </w:rPr>
          <w:t>[2]</w:t>
        </w:r>
      </w:hyperlink>
      <w:bookmarkStart w:id="17" w:name="co_anchor_B22037077884_1"/>
      <w:bookmarkEnd w:id="17"/>
      <w:r w:rsidR="004B3836">
        <w:rPr>
          <w:rFonts w:ascii="Times New Roman" w:hAnsi="Times New Roman" w:cs="Times New Roman"/>
          <w:color w:val="000000"/>
          <w:sz w:val="20"/>
          <w:szCs w:val="20"/>
        </w:rPr>
        <w:t xml:space="preserve"> “We review the interpretation of a statute de novo....” </w:t>
      </w:r>
      <w:hyperlink r:id="rId34" w:anchor="co_pp_sp_506_1000" w:history="1">
        <w:r w:rsidR="004B3836">
          <w:rPr>
            <w:rFonts w:ascii="Times New Roman" w:hAnsi="Times New Roman" w:cs="Times New Roman"/>
            <w:i/>
            <w:iCs/>
            <w:color w:val="0000FF"/>
            <w:sz w:val="20"/>
            <w:szCs w:val="20"/>
          </w:rPr>
          <w:t>United States v. JDT,</w:t>
        </w:r>
        <w:r w:rsidR="004B3836">
          <w:rPr>
            <w:rFonts w:ascii="Times New Roman" w:hAnsi="Times New Roman" w:cs="Times New Roman"/>
            <w:color w:val="0000FF"/>
            <w:sz w:val="20"/>
            <w:szCs w:val="20"/>
          </w:rPr>
          <w:t xml:space="preserve"> 762 F.3d 984, 1000 (9th Cir.2014)</w:t>
        </w:r>
      </w:hyperlink>
      <w:r w:rsidR="004B3836">
        <w:rPr>
          <w:rFonts w:ascii="Times New Roman" w:hAnsi="Times New Roman" w:cs="Times New Roman"/>
          <w:color w:val="000000"/>
          <w:sz w:val="20"/>
          <w:szCs w:val="20"/>
        </w:rPr>
        <w:t xml:space="preserve"> (citation omitted).</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7D5238" w:rsidRDefault="007D523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18" w:name="co_anchor_If5e618e875ac11e598dc8b09b4f04"/>
      <w:bookmarkEnd w:id="18"/>
    </w:p>
    <w:p w:rsidR="007D5238" w:rsidRDefault="004B3836">
      <w:pPr>
        <w:widowControl w:val="0"/>
        <w:autoSpaceDE w:val="0"/>
        <w:autoSpaceDN w:val="0"/>
        <w:adjustRightInd w:val="0"/>
        <w:spacing w:before="200" w:after="0" w:line="240" w:lineRule="auto"/>
        <w:rPr>
          <w:rFonts w:ascii="Times New Roman" w:hAnsi="Times New Roman" w:cs="Times New Roman"/>
          <w:b/>
          <w:bCs/>
          <w:i/>
          <w:iCs/>
          <w:color w:val="000000"/>
          <w:sz w:val="20"/>
          <w:szCs w:val="20"/>
        </w:rPr>
      </w:pPr>
      <w:r>
        <w:rPr>
          <w:rFonts w:ascii="Times New Roman" w:hAnsi="Times New Roman" w:cs="Times New Roman"/>
          <w:b/>
          <w:bCs/>
          <w:color w:val="000000"/>
          <w:sz w:val="20"/>
          <w:szCs w:val="20"/>
        </w:rPr>
        <w:t xml:space="preserve">III. </w:t>
      </w:r>
      <w:r>
        <w:rPr>
          <w:rFonts w:ascii="Times New Roman" w:hAnsi="Times New Roman" w:cs="Times New Roman"/>
          <w:b/>
          <w:bCs/>
          <w:i/>
          <w:iCs/>
          <w:color w:val="000000"/>
          <w:sz w:val="20"/>
          <w:szCs w:val="20"/>
        </w:rPr>
        <w:t>DISCUSSION</w:t>
      </w:r>
    </w:p>
    <w:p w:rsidR="007D5238" w:rsidRDefault="004B3836">
      <w:pPr>
        <w:widowControl w:val="0"/>
        <w:autoSpaceDE w:val="0"/>
        <w:autoSpaceDN w:val="0"/>
        <w:adjustRightInd w:val="0"/>
        <w:spacing w:before="200"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A. Private Right of Action </w:t>
      </w:r>
      <w:proofErr w:type="gramStart"/>
      <w:r>
        <w:rPr>
          <w:rFonts w:ascii="Times New Roman" w:hAnsi="Times New Roman" w:cs="Times New Roman"/>
          <w:b/>
          <w:bCs/>
          <w:color w:val="000000"/>
          <w:sz w:val="20"/>
          <w:szCs w:val="20"/>
        </w:rPr>
        <w:t>For</w:t>
      </w:r>
      <w:proofErr w:type="gramEnd"/>
      <w:r>
        <w:rPr>
          <w:rFonts w:ascii="Times New Roman" w:hAnsi="Times New Roman" w:cs="Times New Roman"/>
          <w:b/>
          <w:bCs/>
          <w:color w:val="000000"/>
          <w:sz w:val="20"/>
          <w:szCs w:val="20"/>
        </w:rPr>
        <w:t xml:space="preserve"> Unlawful Retention of Personal Information</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Rodriguez maintains that the plain language of </w:t>
      </w:r>
      <w:hyperlink r:id="rId35" w:anchor="co_pp_10c0000001331" w:history="1">
        <w:r>
          <w:rPr>
            <w:rFonts w:ascii="Times New Roman" w:hAnsi="Times New Roman" w:cs="Times New Roman"/>
            <w:color w:val="0000FF"/>
            <w:sz w:val="20"/>
            <w:szCs w:val="20"/>
          </w:rPr>
          <w:t>18 U.S.C. § 2710(c</w:t>
        </w:r>
        <w:proofErr w:type="gramStart"/>
        <w:r>
          <w:rPr>
            <w:rFonts w:ascii="Times New Roman" w:hAnsi="Times New Roman" w:cs="Times New Roman"/>
            <w:color w:val="0000FF"/>
            <w:sz w:val="20"/>
            <w:szCs w:val="20"/>
          </w:rPr>
          <w:t>)(</w:t>
        </w:r>
        <w:proofErr w:type="gramEnd"/>
        <w:r>
          <w:rPr>
            <w:rFonts w:ascii="Times New Roman" w:hAnsi="Times New Roman" w:cs="Times New Roman"/>
            <w:color w:val="0000FF"/>
            <w:sz w:val="20"/>
            <w:szCs w:val="20"/>
          </w:rPr>
          <w:t>1)</w:t>
        </w:r>
      </w:hyperlink>
      <w:r>
        <w:rPr>
          <w:rFonts w:ascii="Times New Roman" w:hAnsi="Times New Roman" w:cs="Times New Roman"/>
          <w:color w:val="000000"/>
          <w:sz w:val="20"/>
          <w:szCs w:val="20"/>
        </w:rPr>
        <w:t xml:space="preserve"> provides a private right of action because it permits a civil action for “violation of this section.”</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Although we have not previously addressed this issue, the Seventh Circuit has rejected the same argument. In </w:t>
      </w:r>
      <w:proofErr w:type="spellStart"/>
      <w:r>
        <w:rPr>
          <w:rFonts w:ascii="Times New Roman" w:hAnsi="Times New Roman" w:cs="Times New Roman"/>
          <w:i/>
          <w:iCs/>
          <w:color w:val="000000"/>
          <w:sz w:val="20"/>
          <w:szCs w:val="20"/>
        </w:rPr>
        <w:t>Sterk</w:t>
      </w:r>
      <w:proofErr w:type="spellEnd"/>
      <w:r>
        <w:rPr>
          <w:rFonts w:ascii="Times New Roman" w:hAnsi="Times New Roman" w:cs="Times New Roman"/>
          <w:i/>
          <w:iCs/>
          <w:color w:val="000000"/>
          <w:sz w:val="20"/>
          <w:szCs w:val="20"/>
        </w:rPr>
        <w:t xml:space="preserve"> I,</w:t>
      </w:r>
      <w:r>
        <w:rPr>
          <w:rFonts w:ascii="Times New Roman" w:hAnsi="Times New Roman" w:cs="Times New Roman"/>
          <w:color w:val="000000"/>
          <w:sz w:val="20"/>
          <w:szCs w:val="20"/>
        </w:rPr>
        <w:t xml:space="preserve"> the Seventh Circuit considered whether the plaintiff could pursue an unlawful retention claim stemming from Redbox’s retention of personal information related to its rental services. </w:t>
      </w:r>
      <w:r>
        <w:rPr>
          <w:rFonts w:ascii="Times New Roman" w:hAnsi="Times New Roman" w:cs="Times New Roman"/>
          <w:i/>
          <w:iCs/>
          <w:color w:val="000000"/>
          <w:sz w:val="20"/>
          <w:szCs w:val="20"/>
        </w:rPr>
        <w:t xml:space="preserve">See </w:t>
      </w:r>
      <w:hyperlink r:id="rId36" w:anchor="co_pp_sp_506_536" w:history="1">
        <w:proofErr w:type="spellStart"/>
        <w:r>
          <w:rPr>
            <w:rFonts w:ascii="Times New Roman" w:hAnsi="Times New Roman" w:cs="Times New Roman"/>
            <w:i/>
            <w:iCs/>
            <w:color w:val="0000FF"/>
            <w:sz w:val="20"/>
            <w:szCs w:val="20"/>
          </w:rPr>
          <w:t>Sterk</w:t>
        </w:r>
        <w:proofErr w:type="spellEnd"/>
        <w:r>
          <w:rPr>
            <w:rFonts w:ascii="Times New Roman" w:hAnsi="Times New Roman" w:cs="Times New Roman"/>
            <w:i/>
            <w:iCs/>
            <w:color w:val="0000FF"/>
            <w:sz w:val="20"/>
            <w:szCs w:val="20"/>
          </w:rPr>
          <w:t xml:space="preserve"> I,</w:t>
        </w:r>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672 F.3d at 536</w:t>
        </w:r>
        <w:proofErr w:type="gramEnd"/>
      </w:hyperlink>
      <w:r>
        <w:rPr>
          <w:rFonts w:ascii="Times New Roman" w:hAnsi="Times New Roman" w:cs="Times New Roman"/>
          <w:color w:val="000000"/>
          <w:sz w:val="20"/>
          <w:szCs w:val="20"/>
        </w:rPr>
        <w:t xml:space="preserve">. The Seventh Circuit observed that, because </w:t>
      </w:r>
      <w:hyperlink r:id="rId37" w:history="1">
        <w:r>
          <w:rPr>
            <w:rFonts w:ascii="Times New Roman" w:hAnsi="Times New Roman" w:cs="Times New Roman"/>
            <w:color w:val="0000FF"/>
            <w:sz w:val="20"/>
            <w:szCs w:val="20"/>
          </w:rPr>
          <w:t>§ 2710</w:t>
        </w:r>
      </w:hyperlink>
      <w:r>
        <w:rPr>
          <w:rFonts w:ascii="Times New Roman" w:hAnsi="Times New Roman" w:cs="Times New Roman"/>
          <w:color w:val="000000"/>
          <w:sz w:val="20"/>
          <w:szCs w:val="20"/>
        </w:rPr>
        <w:t xml:space="preserve"> was “not well drafted,” application of its statutory language posed several challenges. </w:t>
      </w:r>
      <w:hyperlink r:id="rId38" w:anchor="co_pp_sp_506_538" w:history="1">
        <w:proofErr w:type="gramStart"/>
        <w:r>
          <w:rPr>
            <w:rFonts w:ascii="Times New Roman" w:hAnsi="Times New Roman" w:cs="Times New Roman"/>
            <w:i/>
            <w:iCs/>
            <w:color w:val="0000FF"/>
            <w:sz w:val="20"/>
            <w:szCs w:val="20"/>
          </w:rPr>
          <w:t>Id.</w:t>
        </w:r>
        <w:r>
          <w:rPr>
            <w:rFonts w:ascii="Times New Roman" w:hAnsi="Times New Roman" w:cs="Times New Roman"/>
            <w:color w:val="0000FF"/>
            <w:sz w:val="20"/>
            <w:szCs w:val="20"/>
          </w:rPr>
          <w:t xml:space="preserve"> at 538</w:t>
        </w:r>
      </w:hyperlink>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 xml:space="preserve"> The Seventh Circuit </w:t>
      </w:r>
      <w:r>
        <w:rPr>
          <w:rFonts w:ascii="Times New Roman" w:hAnsi="Times New Roman" w:cs="Times New Roman"/>
          <w:color w:val="000000"/>
          <w:sz w:val="20"/>
          <w:szCs w:val="20"/>
        </w:rPr>
        <w:lastRenderedPageBreak/>
        <w:t xml:space="preserve">emphasized that “[t]he biggest interpretive problem” stems from failure to specify the scope of relief afforded in </w:t>
      </w:r>
      <w:hyperlink r:id="rId39" w:anchor="co_pp_4b24000003ba5" w:history="1">
        <w:r>
          <w:rPr>
            <w:rFonts w:ascii="Times New Roman" w:hAnsi="Times New Roman" w:cs="Times New Roman"/>
            <w:color w:val="0000FF"/>
            <w:sz w:val="20"/>
            <w:szCs w:val="20"/>
          </w:rPr>
          <w:t>§ 2710(c)</w:t>
        </w:r>
      </w:hyperlink>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The Seventh Circuit resolved the interpretive problem by reasoning that </w:t>
      </w:r>
      <w:hyperlink r:id="rId40" w:anchor="co_pp_4b24000003ba5" w:history="1">
        <w:r>
          <w:rPr>
            <w:rFonts w:ascii="Times New Roman" w:hAnsi="Times New Roman" w:cs="Times New Roman"/>
            <w:color w:val="0000FF"/>
            <w:sz w:val="20"/>
            <w:szCs w:val="20"/>
          </w:rPr>
          <w:t>§ 2710(c)</w:t>
        </w:r>
      </w:hyperlink>
      <w:r>
        <w:rPr>
          <w:rFonts w:ascii="Times New Roman" w:hAnsi="Times New Roman" w:cs="Times New Roman"/>
          <w:color w:val="000000"/>
          <w:sz w:val="20"/>
          <w:szCs w:val="20"/>
        </w:rPr>
        <w:t xml:space="preserve"> created a private right of action only for unlawful disclosure of personal information and not for unlawful retention beyond the destruction provisions in the Act. </w:t>
      </w:r>
      <w:r>
        <w:rPr>
          <w:rFonts w:ascii="Times New Roman" w:hAnsi="Times New Roman" w:cs="Times New Roman"/>
          <w:i/>
          <w:iCs/>
          <w:color w:val="000000"/>
          <w:sz w:val="20"/>
          <w:szCs w:val="20"/>
        </w:rPr>
        <w:t>See id.</w:t>
      </w:r>
      <w:r>
        <w:rPr>
          <w:rFonts w:ascii="Times New Roman" w:hAnsi="Times New Roman" w:cs="Times New Roman"/>
          <w:color w:val="000000"/>
          <w:sz w:val="20"/>
          <w:szCs w:val="20"/>
        </w:rPr>
        <w:t xml:space="preserve"> The Seventh Circuit observed that:</w:t>
      </w:r>
    </w:p>
    <w:p w:rsidR="007D5238" w:rsidRDefault="004B3836">
      <w:pPr>
        <w:widowControl w:val="0"/>
        <w:autoSpaceDE w:val="0"/>
        <w:autoSpaceDN w:val="0"/>
        <w:adjustRightInd w:val="0"/>
        <w:spacing w:before="250" w:after="50" w:line="240" w:lineRule="auto"/>
        <w:ind w:left="1000" w:right="800"/>
        <w:jc w:val="both"/>
        <w:rPr>
          <w:rFonts w:ascii="Times New Roman" w:hAnsi="Times New Roman" w:cs="Times New Roman"/>
          <w:color w:val="000000"/>
          <w:sz w:val="20"/>
          <w:szCs w:val="20"/>
        </w:rPr>
      </w:pPr>
      <w:r>
        <w:rPr>
          <w:rFonts w:ascii="Times New Roman" w:hAnsi="Times New Roman" w:cs="Times New Roman"/>
          <w:color w:val="000000"/>
          <w:sz w:val="20"/>
          <w:szCs w:val="20"/>
        </w:rPr>
        <w:t>If (c) appeared after all the prohibitions, which is to say after (d) and (e) as well as (b), the natural inference would be that any violator of any of the prohibitions could be sued for damages. But instead (c) appears after just the first prohibition, the one in subsection (b), prohibiting disclosure....</w:t>
      </w:r>
    </w:p>
    <w:p w:rsidR="007D5238" w:rsidRDefault="004B3836">
      <w:pPr>
        <w:widowControl w:val="0"/>
        <w:autoSpaceDE w:val="0"/>
        <w:autoSpaceDN w:val="0"/>
        <w:adjustRightInd w:val="0"/>
        <w:spacing w:before="200" w:after="0" w:line="240" w:lineRule="auto"/>
        <w:jc w:val="both"/>
        <w:rPr>
          <w:rFonts w:ascii="Times New Roman" w:hAnsi="Times New Roman" w:cs="Times New Roman"/>
          <w:color w:val="000000"/>
          <w:sz w:val="20"/>
          <w:szCs w:val="20"/>
        </w:rPr>
      </w:pP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The Seventh Circuit acknowledged that the language placement could have been an accident of legislative drafting, but agreed with the Sixth Circuit that “the more plausible interpretation is that it is limited to enforcing the prohibition of disclosure....”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(citing </w:t>
      </w:r>
      <w:hyperlink r:id="rId41" w:anchor="co_pp_sp_506_384" w:history="1">
        <w:r>
          <w:rPr>
            <w:rFonts w:ascii="Times New Roman" w:hAnsi="Times New Roman" w:cs="Times New Roman"/>
            <w:i/>
            <w:iCs/>
            <w:color w:val="0000FF"/>
            <w:sz w:val="20"/>
            <w:szCs w:val="20"/>
          </w:rPr>
          <w:t>Daniel v. Cantrell,</w:t>
        </w:r>
        <w:r>
          <w:rPr>
            <w:rFonts w:ascii="Times New Roman" w:hAnsi="Times New Roman" w:cs="Times New Roman"/>
            <w:color w:val="0000FF"/>
            <w:sz w:val="20"/>
            <w:szCs w:val="20"/>
          </w:rPr>
          <w:t xml:space="preserve"> 375 F.3d 377, 384–85 (6th Cir.2004)</w:t>
        </w:r>
      </w:hyperlink>
      <w:r>
        <w:rPr>
          <w:rFonts w:ascii="Times New Roman" w:hAnsi="Times New Roman" w:cs="Times New Roman"/>
          <w:color w:val="000000"/>
          <w:sz w:val="20"/>
          <w:szCs w:val="20"/>
        </w:rPr>
        <w:t>).</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The Seventh Circuit further observed that awarding damages or other forms of relief would be illogical for unlawful retention because no injury would occur absent disclosure. As the Seventh Circuit articulated:</w:t>
      </w:r>
    </w:p>
    <w:p w:rsidR="007D5238" w:rsidRDefault="004B3836">
      <w:pPr>
        <w:widowControl w:val="0"/>
        <w:autoSpaceDE w:val="0"/>
        <w:autoSpaceDN w:val="0"/>
        <w:adjustRightInd w:val="0"/>
        <w:spacing w:before="250" w:after="50" w:line="240" w:lineRule="auto"/>
        <w:ind w:left="1000" w:right="80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How could there be injury, unless the information, not having been destroyed, </w:t>
      </w:r>
      <w:proofErr w:type="gramStart"/>
      <w:r>
        <w:rPr>
          <w:rFonts w:ascii="Times New Roman" w:hAnsi="Times New Roman" w:cs="Times New Roman"/>
          <w:color w:val="000000"/>
          <w:sz w:val="20"/>
          <w:szCs w:val="20"/>
        </w:rPr>
        <w:t>were</w:t>
      </w:r>
      <w:proofErr w:type="gramEnd"/>
      <w:r>
        <w:rPr>
          <w:rFonts w:ascii="Times New Roman" w:hAnsi="Times New Roman" w:cs="Times New Roman"/>
          <w:color w:val="000000"/>
          <w:sz w:val="20"/>
          <w:szCs w:val="20"/>
        </w:rPr>
        <w:t xml:space="preserve"> disclosed? If, though not timely destroyed, it remained secreted in the video service provider’s files until it was destroyed, there would be no injury. True, subsection (c)(2)(A) allows $2,500 in liquidated damages, without need to prove actual damages, but liquidated damages are intended to be an estimate of actual damages, and if failure of timely destruction results in no injury at all because there is never any disclosure, the only possible estimate of actual damages for violating subsection (e) would be zero....</w:t>
      </w:r>
    </w:p>
    <w:p w:rsidR="007D5238" w:rsidRDefault="004B3836">
      <w:pPr>
        <w:widowControl w:val="0"/>
        <w:autoSpaceDE w:val="0"/>
        <w:autoSpaceDN w:val="0"/>
        <w:adjustRightInd w:val="0"/>
        <w:spacing w:before="200" w:after="0" w:line="240" w:lineRule="auto"/>
        <w:jc w:val="both"/>
        <w:rPr>
          <w:rFonts w:ascii="Times New Roman" w:hAnsi="Times New Roman" w:cs="Times New Roman"/>
          <w:color w:val="000000"/>
          <w:sz w:val="20"/>
          <w:szCs w:val="20"/>
        </w:rPr>
      </w:pPr>
      <w:bookmarkStart w:id="19" w:name="co_pp_sp_999_5_1"/>
      <w:bookmarkEnd w:id="19"/>
      <w:r>
        <w:rPr>
          <w:rFonts w:ascii="Times New Roman" w:hAnsi="Times New Roman" w:cs="Times New Roman"/>
          <w:b/>
          <w:bCs/>
          <w:color w:val="000000"/>
          <w:sz w:val="20"/>
          <w:szCs w:val="20"/>
        </w:rPr>
        <w:t>*5</w:t>
      </w:r>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(internal quotation marks omitted).</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Although Rodriguez contends that the Seventh Circuit’s opinion was wrongly decided, the Seventh Circuit’s </w:t>
      </w:r>
      <w:r>
        <w:rPr>
          <w:rFonts w:ascii="Times New Roman" w:hAnsi="Times New Roman" w:cs="Times New Roman"/>
          <w:color w:val="000000"/>
          <w:sz w:val="20"/>
          <w:szCs w:val="20"/>
        </w:rPr>
        <w:lastRenderedPageBreak/>
        <w:t xml:space="preserve">approach to statutory interpretation was sound. The Seventh Circuit astutely noted the limited guidance provided by the statutory language. </w:t>
      </w:r>
      <w:r>
        <w:rPr>
          <w:rFonts w:ascii="Times New Roman" w:hAnsi="Times New Roman" w:cs="Times New Roman"/>
          <w:i/>
          <w:iCs/>
          <w:color w:val="000000"/>
          <w:sz w:val="20"/>
          <w:szCs w:val="20"/>
        </w:rPr>
        <w:t>See id.</w:t>
      </w:r>
      <w:r>
        <w:rPr>
          <w:rFonts w:ascii="Times New Roman" w:hAnsi="Times New Roman" w:cs="Times New Roman"/>
          <w:color w:val="000000"/>
          <w:sz w:val="20"/>
          <w:szCs w:val="20"/>
        </w:rPr>
        <w:t xml:space="preserve"> The unlawful disclosure provision provides that “[a] video tape service provider who knowingly discloses, to any person, personally identifiable information concerning any consumer of such provider shall be liable to the aggrieved person for the relief provided in subsection (d).” </w:t>
      </w:r>
      <w:hyperlink r:id="rId42" w:anchor="co_pp_a83b000018c76" w:history="1">
        <w:r>
          <w:rPr>
            <w:rFonts w:ascii="Times New Roman" w:hAnsi="Times New Roman" w:cs="Times New Roman"/>
            <w:color w:val="0000FF"/>
            <w:sz w:val="20"/>
            <w:szCs w:val="20"/>
          </w:rPr>
          <w:t>18 U.S.C. § 2710(b)</w:t>
        </w:r>
      </w:hyperlink>
      <w:r>
        <w:rPr>
          <w:rFonts w:ascii="Times New Roman" w:hAnsi="Times New Roman" w:cs="Times New Roman"/>
          <w:color w:val="000000"/>
          <w:sz w:val="20"/>
          <w:szCs w:val="20"/>
        </w:rPr>
        <w:t xml:space="preserve">. As discussed, </w:t>
      </w:r>
      <w:hyperlink r:id="rId43" w:anchor="co_pp_5ba1000067d06" w:history="1">
        <w:r>
          <w:rPr>
            <w:rFonts w:ascii="Times New Roman" w:hAnsi="Times New Roman" w:cs="Times New Roman"/>
            <w:color w:val="0000FF"/>
            <w:sz w:val="20"/>
            <w:szCs w:val="20"/>
          </w:rPr>
          <w:t>§ 2710(d)</w:t>
        </w:r>
      </w:hyperlink>
      <w:r>
        <w:rPr>
          <w:rFonts w:ascii="Times New Roman" w:hAnsi="Times New Roman" w:cs="Times New Roman"/>
          <w:color w:val="000000"/>
          <w:sz w:val="20"/>
          <w:szCs w:val="20"/>
        </w:rPr>
        <w:t xml:space="preserve"> is a dead end for any damages remedy, as it merely precludes the introduction of personal information as evidence “in any trial, hearing, arbitration, or other proceeding” and does not otherwise provide for relief. </w:t>
      </w:r>
      <w:hyperlink r:id="rId44" w:anchor="co_pp_5ba1000067d06" w:history="1">
        <w:proofErr w:type="gramStart"/>
        <w:r>
          <w:rPr>
            <w:rFonts w:ascii="Times New Roman" w:hAnsi="Times New Roman" w:cs="Times New Roman"/>
            <w:color w:val="0000FF"/>
            <w:sz w:val="20"/>
            <w:szCs w:val="20"/>
          </w:rPr>
          <w:t>18 U.S.C. § 2710(d)</w:t>
        </w:r>
      </w:hyperlink>
      <w:r>
        <w:rPr>
          <w:rFonts w:ascii="Times New Roman" w:hAnsi="Times New Roman" w:cs="Times New Roman"/>
          <w:color w:val="000000"/>
          <w:sz w:val="20"/>
          <w:szCs w:val="20"/>
        </w:rPr>
        <w:t>.</w:t>
      </w:r>
      <w:proofErr w:type="gramEnd"/>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There are other notable distinctions between the unlawful disclosure and unlawful retention provisions. The unlawful disclosure provision explicitly provides for liability “to the aggrieved person.” </w:t>
      </w:r>
      <w:hyperlink r:id="rId45" w:anchor="co_pp_4b24000003ba5" w:history="1">
        <w:r>
          <w:rPr>
            <w:rFonts w:ascii="Times New Roman" w:hAnsi="Times New Roman" w:cs="Times New Roman"/>
            <w:color w:val="0000FF"/>
            <w:sz w:val="20"/>
            <w:szCs w:val="20"/>
          </w:rPr>
          <w:t>18 U.S.C. § 2710(c)</w:t>
        </w:r>
      </w:hyperlink>
      <w:r>
        <w:rPr>
          <w:rFonts w:ascii="Times New Roman" w:hAnsi="Times New Roman" w:cs="Times New Roman"/>
          <w:color w:val="000000"/>
          <w:sz w:val="20"/>
          <w:szCs w:val="20"/>
        </w:rPr>
        <w:t xml:space="preserve">. However, the unlawful retention provision does not specify that a video service provider is liable for the knowing retention of personal information. That provision lacks any </w:t>
      </w:r>
      <w:proofErr w:type="spellStart"/>
      <w:r>
        <w:rPr>
          <w:rFonts w:ascii="Times New Roman" w:hAnsi="Times New Roman" w:cs="Times New Roman"/>
          <w:i/>
          <w:iCs/>
          <w:color w:val="000000"/>
          <w:sz w:val="20"/>
          <w:szCs w:val="20"/>
        </w:rPr>
        <w:t>mens</w:t>
      </w:r>
      <w:proofErr w:type="spellEnd"/>
      <w:r>
        <w:rPr>
          <w:rFonts w:ascii="Times New Roman" w:hAnsi="Times New Roman" w:cs="Times New Roman"/>
          <w:i/>
          <w:iCs/>
          <w:color w:val="000000"/>
          <w:sz w:val="20"/>
          <w:szCs w:val="20"/>
        </w:rPr>
        <w:t xml:space="preserve"> </w:t>
      </w:r>
      <w:proofErr w:type="spellStart"/>
      <w:r>
        <w:rPr>
          <w:rFonts w:ascii="Times New Roman" w:hAnsi="Times New Roman" w:cs="Times New Roman"/>
          <w:i/>
          <w:iCs/>
          <w:color w:val="000000"/>
          <w:sz w:val="20"/>
          <w:szCs w:val="20"/>
        </w:rPr>
        <w:t>reas</w:t>
      </w:r>
      <w:proofErr w:type="spellEnd"/>
      <w:r>
        <w:rPr>
          <w:rFonts w:ascii="Times New Roman" w:hAnsi="Times New Roman" w:cs="Times New Roman"/>
          <w:color w:val="000000"/>
          <w:sz w:val="20"/>
          <w:szCs w:val="20"/>
        </w:rPr>
        <w:t xml:space="preserve"> articulation and does not specify any form of available relief to an aggrieved party. </w:t>
      </w: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w:t>
      </w:r>
      <w:hyperlink r:id="rId46" w:anchor="co_pp_7fdd00001ca15" w:history="1">
        <w:r>
          <w:rPr>
            <w:rFonts w:ascii="Times New Roman" w:hAnsi="Times New Roman" w:cs="Times New Roman"/>
            <w:color w:val="0000FF"/>
            <w:sz w:val="20"/>
            <w:szCs w:val="20"/>
          </w:rPr>
          <w:t>18 U.S.C. § 2710(e)</w:t>
        </w:r>
      </w:hyperlink>
      <w:r>
        <w:rPr>
          <w:rFonts w:ascii="Times New Roman" w:hAnsi="Times New Roman" w:cs="Times New Roman"/>
          <w:color w:val="000000"/>
          <w:sz w:val="20"/>
          <w:szCs w:val="20"/>
        </w:rPr>
        <w:t>. Instead, the provision simply delineates a statutory duty for the “[d]</w:t>
      </w:r>
      <w:proofErr w:type="spellStart"/>
      <w:r>
        <w:rPr>
          <w:rFonts w:ascii="Times New Roman" w:hAnsi="Times New Roman" w:cs="Times New Roman"/>
          <w:color w:val="000000"/>
          <w:sz w:val="20"/>
          <w:szCs w:val="20"/>
        </w:rPr>
        <w:t>estruction</w:t>
      </w:r>
      <w:proofErr w:type="spellEnd"/>
      <w:r>
        <w:rPr>
          <w:rFonts w:ascii="Times New Roman" w:hAnsi="Times New Roman" w:cs="Times New Roman"/>
          <w:color w:val="000000"/>
          <w:sz w:val="20"/>
          <w:szCs w:val="20"/>
        </w:rPr>
        <w:t xml:space="preserve"> of old records” by the video service provider, and does not otherwise provide for civil liability. </w:t>
      </w:r>
      <w:r>
        <w:rPr>
          <w:rFonts w:ascii="Times New Roman" w:hAnsi="Times New Roman" w:cs="Times New Roman"/>
          <w:i/>
          <w:iCs/>
          <w:color w:val="000000"/>
          <w:sz w:val="20"/>
          <w:szCs w:val="20"/>
        </w:rPr>
        <w:t>Id.</w:t>
      </w:r>
      <w:bookmarkStart w:id="20" w:name="co_footnoteReference_B00322037077884_ID0"/>
      <w:bookmarkEnd w:id="20"/>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"#co_footnote_B00322037077884_1" </w:instrText>
      </w:r>
      <w:r>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2</w:t>
      </w:r>
      <w:r>
        <w:rPr>
          <w:rFonts w:ascii="Times New Roman" w:hAnsi="Times New Roman" w:cs="Times New Roman"/>
          <w:color w:val="000000"/>
          <w:sz w:val="16"/>
          <w:szCs w:val="16"/>
        </w:rPr>
        <w:fldChar w:fldCharType="end"/>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Generally, when the language of the statute is directed toward the entity being regulated, rather than the party seeking relief, we have not recognized a private right of action. </w:t>
      </w:r>
      <w:r>
        <w:rPr>
          <w:rFonts w:ascii="Times New Roman" w:hAnsi="Times New Roman" w:cs="Times New Roman"/>
          <w:i/>
          <w:iCs/>
          <w:color w:val="000000"/>
          <w:sz w:val="20"/>
          <w:szCs w:val="20"/>
        </w:rPr>
        <w:t xml:space="preserve">See </w:t>
      </w:r>
      <w:hyperlink r:id="rId47" w:anchor="co_pp_sp_506_1171" w:history="1">
        <w:r>
          <w:rPr>
            <w:rFonts w:ascii="Times New Roman" w:hAnsi="Times New Roman" w:cs="Times New Roman"/>
            <w:i/>
            <w:iCs/>
            <w:color w:val="0000FF"/>
            <w:sz w:val="20"/>
            <w:szCs w:val="20"/>
          </w:rPr>
          <w:t xml:space="preserve">Logan v. U.S. Bank Nat’l </w:t>
        </w:r>
        <w:proofErr w:type="spellStart"/>
        <w:r>
          <w:rPr>
            <w:rFonts w:ascii="Times New Roman" w:hAnsi="Times New Roman" w:cs="Times New Roman"/>
            <w:i/>
            <w:iCs/>
            <w:color w:val="0000FF"/>
            <w:sz w:val="20"/>
            <w:szCs w:val="20"/>
          </w:rPr>
          <w:t>Ass’n</w:t>
        </w:r>
        <w:proofErr w:type="spellEnd"/>
        <w:r>
          <w:rPr>
            <w:rFonts w:ascii="Times New Roman" w:hAnsi="Times New Roman" w:cs="Times New Roman"/>
            <w:i/>
            <w:iCs/>
            <w:color w:val="0000FF"/>
            <w:sz w:val="20"/>
            <w:szCs w:val="20"/>
          </w:rPr>
          <w:t>,</w:t>
        </w:r>
        <w:r>
          <w:rPr>
            <w:rFonts w:ascii="Times New Roman" w:hAnsi="Times New Roman" w:cs="Times New Roman"/>
            <w:color w:val="0000FF"/>
            <w:sz w:val="20"/>
            <w:szCs w:val="20"/>
          </w:rPr>
          <w:t xml:space="preserve"> 722 F.3d 1163, 1171 (9th Cir.2013)</w:t>
        </w:r>
      </w:hyperlink>
      <w:r>
        <w:rPr>
          <w:rFonts w:ascii="Times New Roman" w:hAnsi="Times New Roman" w:cs="Times New Roman"/>
          <w:color w:val="000000"/>
          <w:sz w:val="20"/>
          <w:szCs w:val="20"/>
        </w:rPr>
        <w:t xml:space="preserve"> (articulating that “[s]</w:t>
      </w:r>
      <w:proofErr w:type="spellStart"/>
      <w:r>
        <w:rPr>
          <w:rFonts w:ascii="Times New Roman" w:hAnsi="Times New Roman" w:cs="Times New Roman"/>
          <w:color w:val="000000"/>
          <w:sz w:val="20"/>
          <w:szCs w:val="20"/>
        </w:rPr>
        <w:t>tatutes</w:t>
      </w:r>
      <w:proofErr w:type="spellEnd"/>
      <w:r>
        <w:rPr>
          <w:rFonts w:ascii="Times New Roman" w:hAnsi="Times New Roman" w:cs="Times New Roman"/>
          <w:color w:val="000000"/>
          <w:sz w:val="20"/>
          <w:szCs w:val="20"/>
        </w:rPr>
        <w:t xml:space="preserve"> containing general proscriptions of activities or focusing on the regulated party rather than the class of beneficiaries whose welfare Congress intended to further do not indicate an intent to provide for private rights of action”) (citations, alteration, and internal quotation marks omitted). Faced with this drafting conundrum, the Seventh Circuit understandably considered the statute’s structure in resolving the private right of action issue.</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7D5238" w:rsidRDefault="00776BCA">
      <w:pPr>
        <w:widowControl w:val="0"/>
        <w:autoSpaceDE w:val="0"/>
        <w:autoSpaceDN w:val="0"/>
        <w:adjustRightInd w:val="0"/>
        <w:spacing w:after="0" w:line="240" w:lineRule="auto"/>
        <w:jc w:val="both"/>
        <w:rPr>
          <w:rFonts w:ascii="Times New Roman" w:hAnsi="Times New Roman" w:cs="Times New Roman"/>
          <w:color w:val="000000"/>
          <w:sz w:val="20"/>
          <w:szCs w:val="20"/>
        </w:rPr>
      </w:pPr>
      <w:hyperlink w:anchor="co_anchor_F32037077884_1" w:history="1">
        <w:r w:rsidR="004B3836">
          <w:rPr>
            <w:rFonts w:ascii="Times New Roman" w:hAnsi="Times New Roman" w:cs="Times New Roman"/>
            <w:b/>
            <w:bCs/>
            <w:color w:val="252525"/>
            <w:sz w:val="20"/>
            <w:szCs w:val="20"/>
            <w:vertAlign w:val="superscript"/>
          </w:rPr>
          <w:t>[3]</w:t>
        </w:r>
      </w:hyperlink>
      <w:bookmarkStart w:id="21" w:name="co_anchor_B32037077884_1"/>
      <w:bookmarkEnd w:id="21"/>
      <w:r w:rsidR="004B3836">
        <w:rPr>
          <w:rFonts w:ascii="Times New Roman" w:hAnsi="Times New Roman" w:cs="Times New Roman"/>
          <w:color w:val="000000"/>
          <w:sz w:val="20"/>
          <w:szCs w:val="20"/>
        </w:rPr>
        <w:t xml:space="preserve"> </w:t>
      </w:r>
      <w:hyperlink w:anchor="co_anchor_F42037077884_1" w:history="1">
        <w:r w:rsidR="004B3836">
          <w:rPr>
            <w:rFonts w:ascii="Times New Roman" w:hAnsi="Times New Roman" w:cs="Times New Roman"/>
            <w:b/>
            <w:bCs/>
            <w:color w:val="252525"/>
            <w:sz w:val="20"/>
            <w:szCs w:val="20"/>
            <w:vertAlign w:val="superscript"/>
          </w:rPr>
          <w:t>[4]</w:t>
        </w:r>
      </w:hyperlink>
      <w:bookmarkStart w:id="22" w:name="co_anchor_B42037077884_1"/>
      <w:bookmarkEnd w:id="22"/>
      <w:r w:rsidR="004B3836">
        <w:rPr>
          <w:rFonts w:ascii="Times New Roman" w:hAnsi="Times New Roman" w:cs="Times New Roman"/>
          <w:color w:val="000000"/>
          <w:sz w:val="20"/>
          <w:szCs w:val="20"/>
        </w:rPr>
        <w:t xml:space="preserve"> Courts “must interpret the statute as a whole, giving effect to each word and making every effort not to interpret a provision in a manner that renders other provisions of the same statute inconsistent, meaningless or superfluous.” </w:t>
      </w:r>
      <w:hyperlink r:id="rId48" w:anchor="co_pp_sp_506_652" w:history="1">
        <w:proofErr w:type="gramStart"/>
        <w:r w:rsidR="004B3836">
          <w:rPr>
            <w:rFonts w:ascii="Times New Roman" w:hAnsi="Times New Roman" w:cs="Times New Roman"/>
            <w:i/>
            <w:iCs/>
            <w:color w:val="0000FF"/>
            <w:sz w:val="20"/>
            <w:szCs w:val="20"/>
          </w:rPr>
          <w:t>United States v. Neal,</w:t>
        </w:r>
        <w:r w:rsidR="004B3836">
          <w:rPr>
            <w:rFonts w:ascii="Times New Roman" w:hAnsi="Times New Roman" w:cs="Times New Roman"/>
            <w:color w:val="0000FF"/>
            <w:sz w:val="20"/>
            <w:szCs w:val="20"/>
          </w:rPr>
          <w:t xml:space="preserve"> 776 F.3d 645, 652 (9th Cir.2015)</w:t>
        </w:r>
      </w:hyperlink>
      <w:r w:rsidR="004B3836">
        <w:rPr>
          <w:rFonts w:ascii="Times New Roman" w:hAnsi="Times New Roman" w:cs="Times New Roman"/>
          <w:color w:val="000000"/>
          <w:sz w:val="20"/>
          <w:szCs w:val="20"/>
        </w:rPr>
        <w:t xml:space="preserve"> (citation, alterations, and internal quotation marks omitted).</w:t>
      </w:r>
      <w:proofErr w:type="gramEnd"/>
      <w:r w:rsidR="004B3836">
        <w:rPr>
          <w:rFonts w:ascii="Times New Roman" w:hAnsi="Times New Roman" w:cs="Times New Roman"/>
          <w:color w:val="000000"/>
          <w:sz w:val="20"/>
          <w:szCs w:val="20"/>
        </w:rPr>
        <w:t xml:space="preserve"> “Additionally, particular phrases must be construed in light of the overall purpose and structure of the whole statutory scheme.” </w:t>
      </w:r>
      <w:proofErr w:type="gramStart"/>
      <w:r w:rsidR="004B3836">
        <w:rPr>
          <w:rFonts w:ascii="Times New Roman" w:hAnsi="Times New Roman" w:cs="Times New Roman"/>
          <w:i/>
          <w:iCs/>
          <w:color w:val="000000"/>
          <w:sz w:val="20"/>
          <w:szCs w:val="20"/>
        </w:rPr>
        <w:t>Id.</w:t>
      </w:r>
      <w:r w:rsidR="004B3836">
        <w:rPr>
          <w:rFonts w:ascii="Times New Roman" w:hAnsi="Times New Roman" w:cs="Times New Roman"/>
          <w:color w:val="000000"/>
          <w:sz w:val="20"/>
          <w:szCs w:val="20"/>
        </w:rPr>
        <w:t xml:space="preserve"> (citation, alteration, and internal quotation marks omitted).</w:t>
      </w:r>
      <w:proofErr w:type="gramEnd"/>
      <w:r w:rsidR="004B3836">
        <w:rPr>
          <w:rFonts w:ascii="Times New Roman" w:hAnsi="Times New Roman" w:cs="Times New Roman"/>
          <w:color w:val="000000"/>
          <w:sz w:val="20"/>
          <w:szCs w:val="20"/>
        </w:rPr>
        <w:t xml:space="preserve"> Rather than focusing on the phrase “in this section,” as urged by Rodriguez to support creating a right of action for all subsections, the </w:t>
      </w:r>
      <w:r w:rsidR="004B3836">
        <w:rPr>
          <w:rFonts w:ascii="Times New Roman" w:hAnsi="Times New Roman" w:cs="Times New Roman"/>
          <w:color w:val="000000"/>
          <w:sz w:val="20"/>
          <w:szCs w:val="20"/>
        </w:rPr>
        <w:lastRenderedPageBreak/>
        <w:t>Seventh Circuit employed accepted principles of statutory construction to interpret an imperfectly drafted statute.</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23" w:name="co_pp_sp_999_6_1"/>
      <w:bookmarkEnd w:id="23"/>
      <w:r>
        <w:rPr>
          <w:rFonts w:ascii="Times New Roman" w:hAnsi="Times New Roman" w:cs="Times New Roman"/>
          <w:b/>
          <w:bCs/>
          <w:color w:val="000000"/>
          <w:sz w:val="20"/>
          <w:szCs w:val="20"/>
        </w:rPr>
        <w:t>*6</w:t>
      </w:r>
      <w:r>
        <w:rPr>
          <w:rFonts w:ascii="Times New Roman" w:hAnsi="Times New Roman" w:cs="Times New Roman"/>
          <w:color w:val="000000"/>
          <w:sz w:val="20"/>
          <w:szCs w:val="20"/>
        </w:rPr>
        <w:t xml:space="preserve"> The Seventh Circuit’s decision is consistent with the rationale utilized by the Sixth Circuit, the only other court to have addressed the Act’s reach. In </w:t>
      </w:r>
      <w:r>
        <w:rPr>
          <w:rFonts w:ascii="Times New Roman" w:hAnsi="Times New Roman" w:cs="Times New Roman"/>
          <w:i/>
          <w:iCs/>
          <w:color w:val="000000"/>
          <w:sz w:val="20"/>
          <w:szCs w:val="20"/>
        </w:rPr>
        <w:t>Daniel,</w:t>
      </w:r>
      <w:r>
        <w:rPr>
          <w:rFonts w:ascii="Times New Roman" w:hAnsi="Times New Roman" w:cs="Times New Roman"/>
          <w:color w:val="000000"/>
          <w:sz w:val="20"/>
          <w:szCs w:val="20"/>
        </w:rPr>
        <w:t xml:space="preserve"> the plaintiff sued video store owners for disclosing personal information related to his video rentals. </w:t>
      </w:r>
      <w:hyperlink r:id="rId49" w:anchor="co_pp_sp_506_379" w:history="1">
        <w:r>
          <w:rPr>
            <w:rFonts w:ascii="Times New Roman" w:hAnsi="Times New Roman" w:cs="Times New Roman"/>
            <w:i/>
            <w:iCs/>
            <w:color w:val="0000FF"/>
            <w:sz w:val="20"/>
            <w:szCs w:val="20"/>
          </w:rPr>
          <w:t>See</w:t>
        </w:r>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375 F.3d</w:t>
        </w:r>
        <w:proofErr w:type="gramEnd"/>
        <w:r>
          <w:rPr>
            <w:rFonts w:ascii="Times New Roman" w:hAnsi="Times New Roman" w:cs="Times New Roman"/>
            <w:color w:val="0000FF"/>
            <w:sz w:val="20"/>
            <w:szCs w:val="20"/>
          </w:rPr>
          <w:t xml:space="preserve"> at 379–80</w:t>
        </w:r>
      </w:hyperlink>
      <w:r>
        <w:rPr>
          <w:rFonts w:ascii="Times New Roman" w:hAnsi="Times New Roman" w:cs="Times New Roman"/>
          <w:color w:val="000000"/>
          <w:sz w:val="20"/>
          <w:szCs w:val="20"/>
        </w:rPr>
        <w:t xml:space="preserve">. Affirming summary judgment in favor of the defendants, </w:t>
      </w:r>
      <w:r>
        <w:rPr>
          <w:rFonts w:ascii="Times New Roman" w:hAnsi="Times New Roman" w:cs="Times New Roman"/>
          <w:i/>
          <w:iCs/>
          <w:color w:val="000000"/>
          <w:sz w:val="20"/>
          <w:szCs w:val="20"/>
        </w:rPr>
        <w:t xml:space="preserve">see </w:t>
      </w:r>
      <w:hyperlink r:id="rId50" w:anchor="co_pp_sp_506_379" w:history="1">
        <w:r>
          <w:rPr>
            <w:rFonts w:ascii="Times New Roman" w:hAnsi="Times New Roman" w:cs="Times New Roman"/>
            <w:i/>
            <w:iCs/>
            <w:color w:val="0000FF"/>
            <w:sz w:val="20"/>
            <w:szCs w:val="20"/>
          </w:rPr>
          <w:t>id.</w:t>
        </w:r>
        <w:r>
          <w:rPr>
            <w:rFonts w:ascii="Times New Roman" w:hAnsi="Times New Roman" w:cs="Times New Roman"/>
            <w:color w:val="0000FF"/>
            <w:sz w:val="20"/>
            <w:szCs w:val="20"/>
          </w:rPr>
          <w:t xml:space="preserve"> </w:t>
        </w:r>
        <w:proofErr w:type="gramStart"/>
        <w:r>
          <w:rPr>
            <w:rFonts w:ascii="Times New Roman" w:hAnsi="Times New Roman" w:cs="Times New Roman"/>
            <w:color w:val="0000FF"/>
            <w:sz w:val="20"/>
            <w:szCs w:val="20"/>
          </w:rPr>
          <w:t>at</w:t>
        </w:r>
        <w:proofErr w:type="gramEnd"/>
        <w:r>
          <w:rPr>
            <w:rFonts w:ascii="Times New Roman" w:hAnsi="Times New Roman" w:cs="Times New Roman"/>
            <w:color w:val="0000FF"/>
            <w:sz w:val="20"/>
            <w:szCs w:val="20"/>
          </w:rPr>
          <w:t xml:space="preserve"> 379</w:t>
        </w:r>
      </w:hyperlink>
      <w:r>
        <w:rPr>
          <w:rFonts w:ascii="Times New Roman" w:hAnsi="Times New Roman" w:cs="Times New Roman"/>
          <w:color w:val="000000"/>
          <w:sz w:val="20"/>
          <w:szCs w:val="20"/>
        </w:rPr>
        <w:t xml:space="preserve">, the Sixth Circuit concluded that only the unlawful disclosure provision “includes language related to liability. Neither section (d) nor section (e) contains such language.” </w:t>
      </w:r>
      <w:hyperlink r:id="rId51" w:anchor="co_pp_sp_506_384" w:history="1">
        <w:proofErr w:type="gramStart"/>
        <w:r>
          <w:rPr>
            <w:rFonts w:ascii="Times New Roman" w:hAnsi="Times New Roman" w:cs="Times New Roman"/>
            <w:i/>
            <w:iCs/>
            <w:color w:val="0000FF"/>
            <w:sz w:val="20"/>
            <w:szCs w:val="20"/>
          </w:rPr>
          <w:t>Id.</w:t>
        </w:r>
        <w:r>
          <w:rPr>
            <w:rFonts w:ascii="Times New Roman" w:hAnsi="Times New Roman" w:cs="Times New Roman"/>
            <w:color w:val="0000FF"/>
            <w:sz w:val="20"/>
            <w:szCs w:val="20"/>
          </w:rPr>
          <w:t xml:space="preserve"> at 384</w:t>
        </w:r>
      </w:hyperlink>
      <w:r>
        <w:rPr>
          <w:rFonts w:ascii="Times New Roman" w:hAnsi="Times New Roman" w:cs="Times New Roman"/>
          <w:color w:val="000000"/>
          <w:sz w:val="20"/>
          <w:szCs w:val="20"/>
        </w:rPr>
        <w:t xml:space="preserve"> (citation omitted).</w:t>
      </w:r>
      <w:proofErr w:type="gramEnd"/>
      <w:r>
        <w:rPr>
          <w:rFonts w:ascii="Times New Roman" w:hAnsi="Times New Roman" w:cs="Times New Roman"/>
          <w:color w:val="000000"/>
          <w:sz w:val="20"/>
          <w:szCs w:val="20"/>
        </w:rPr>
        <w:t xml:space="preserve"> The Sixth Circuit explained that:</w:t>
      </w:r>
    </w:p>
    <w:p w:rsidR="007D5238" w:rsidRDefault="004B3836">
      <w:pPr>
        <w:widowControl w:val="0"/>
        <w:autoSpaceDE w:val="0"/>
        <w:autoSpaceDN w:val="0"/>
        <w:adjustRightInd w:val="0"/>
        <w:spacing w:before="250" w:after="50" w:line="240" w:lineRule="auto"/>
        <w:ind w:left="1000" w:right="800"/>
        <w:jc w:val="both"/>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the</w:t>
      </w:r>
      <w:proofErr w:type="gramEnd"/>
      <w:r>
        <w:rPr>
          <w:rFonts w:ascii="Times New Roman" w:hAnsi="Times New Roman" w:cs="Times New Roman"/>
          <w:color w:val="000000"/>
          <w:sz w:val="20"/>
          <w:szCs w:val="20"/>
        </w:rPr>
        <w:t xml:space="preserve"> structure of the statute makes it clear that a civil action may be brought based on only a violation of section (b). Immediately after section (b), section (c) discusses the rules for bringing a civil action. After section (c), sections (d) and (e) discuss receiving personal information into evidence and destruction of old records. If these later sections were to be a basis for liability, it would make sense that the section on civil actions would come at the end of the statute, rather than preceding these sections.</w:t>
      </w:r>
    </w:p>
    <w:p w:rsidR="007D5238" w:rsidRDefault="004B3836">
      <w:pPr>
        <w:widowControl w:val="0"/>
        <w:autoSpaceDE w:val="0"/>
        <w:autoSpaceDN w:val="0"/>
        <w:adjustRightInd w:val="0"/>
        <w:spacing w:before="200" w:after="0" w:line="240" w:lineRule="auto"/>
        <w:jc w:val="both"/>
        <w:rPr>
          <w:rFonts w:ascii="Times New Roman" w:hAnsi="Times New Roman" w:cs="Times New Roman"/>
          <w:color w:val="000000"/>
          <w:sz w:val="20"/>
          <w:szCs w:val="20"/>
        </w:rPr>
      </w:pPr>
      <w:proofErr w:type="gramStart"/>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(footnote reference and internal quotation marks omitted).</w:t>
      </w:r>
      <w:proofErr w:type="gramEnd"/>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Finally, the Act’s legislative history does not evince any Congressional intent to create a private right of action for a video service provider’s retention of a consumer’s personal information beyond the statutorily proscribed time limitations. When the Act was passed in 1988, its purpose was “[t]o preserve personal privacy with respect to the rental, purchase or delivery of video tapes or similar audio visual materials.” </w:t>
      </w:r>
      <w:hyperlink r:id="rId52" w:history="1">
        <w:proofErr w:type="spellStart"/>
        <w:r>
          <w:rPr>
            <w:rFonts w:ascii="Times New Roman" w:hAnsi="Times New Roman" w:cs="Times New Roman"/>
            <w:color w:val="0000FF"/>
            <w:sz w:val="20"/>
            <w:szCs w:val="20"/>
          </w:rPr>
          <w:t>S.Rep</w:t>
        </w:r>
        <w:proofErr w:type="spellEnd"/>
        <w:r>
          <w:rPr>
            <w:rFonts w:ascii="Times New Roman" w:hAnsi="Times New Roman" w:cs="Times New Roman"/>
            <w:color w:val="0000FF"/>
            <w:sz w:val="20"/>
            <w:szCs w:val="20"/>
          </w:rPr>
          <w:t>. No. 100–599, at 1</w:t>
        </w:r>
      </w:hyperlink>
      <w:r>
        <w:rPr>
          <w:rFonts w:ascii="Times New Roman" w:hAnsi="Times New Roman" w:cs="Times New Roman"/>
          <w:color w:val="000000"/>
          <w:sz w:val="20"/>
          <w:szCs w:val="20"/>
        </w:rPr>
        <w:t xml:space="preserve"> (1988), </w:t>
      </w:r>
      <w:r>
        <w:rPr>
          <w:rFonts w:ascii="Times New Roman" w:hAnsi="Times New Roman" w:cs="Times New Roman"/>
          <w:i/>
          <w:iCs/>
          <w:color w:val="000000"/>
          <w:sz w:val="20"/>
          <w:szCs w:val="20"/>
        </w:rPr>
        <w:t>reprinted in</w:t>
      </w:r>
      <w:r>
        <w:rPr>
          <w:rFonts w:ascii="Times New Roman" w:hAnsi="Times New Roman" w:cs="Times New Roman"/>
          <w:color w:val="000000"/>
          <w:sz w:val="20"/>
          <w:szCs w:val="20"/>
        </w:rPr>
        <w:t xml:space="preserve"> 1988 U.S.C.C.A.N. 4342–1.</w:t>
      </w:r>
      <w:bookmarkStart w:id="24" w:name="co_footnoteReference_B00432037077884_ID0"/>
      <w:bookmarkEnd w:id="24"/>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"#co_footnote_B00432037077884_1" </w:instrText>
      </w:r>
      <w:r>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3</w:t>
      </w:r>
      <w:r>
        <w:rPr>
          <w:rFonts w:ascii="Times New Roman" w:hAnsi="Times New Roman" w:cs="Times New Roman"/>
          <w:color w:val="000000"/>
          <w:sz w:val="16"/>
          <w:szCs w:val="16"/>
        </w:rPr>
        <w:fldChar w:fldCharType="end"/>
      </w:r>
      <w:r>
        <w:rPr>
          <w:rFonts w:ascii="Times New Roman" w:hAnsi="Times New Roman" w:cs="Times New Roman"/>
          <w:color w:val="000000"/>
          <w:sz w:val="20"/>
          <w:szCs w:val="20"/>
        </w:rPr>
        <w:t xml:space="preserve"> It appears that Congress intended to fulfill its expressed purpose by providing a civil remedy for the unlawful disclosure of personal information, but not for unlawful retention of that information. The Senate Report confirms that the Act “prohibits video stores from disclosing personally identifiable information—information that links the customer or patron to particular materials or services. In the event of an </w:t>
      </w:r>
      <w:r>
        <w:rPr>
          <w:rFonts w:ascii="Times New Roman" w:hAnsi="Times New Roman" w:cs="Times New Roman"/>
          <w:i/>
          <w:iCs/>
          <w:color w:val="000000"/>
          <w:sz w:val="20"/>
          <w:szCs w:val="20"/>
        </w:rPr>
        <w:t>unauthorized disclosure,</w:t>
      </w:r>
      <w:r>
        <w:rPr>
          <w:rFonts w:ascii="Times New Roman" w:hAnsi="Times New Roman" w:cs="Times New Roman"/>
          <w:color w:val="000000"/>
          <w:sz w:val="20"/>
          <w:szCs w:val="20"/>
        </w:rPr>
        <w:t xml:space="preserve"> an individual may bring a civil action for damages.”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7 (emphasis added). The Senate Report explains that “[t]he civil remedies section puts teeth into the legislation, ensuring that the law will be enforced by individuals who suffer as </w:t>
      </w:r>
      <w:r>
        <w:rPr>
          <w:rFonts w:ascii="Times New Roman" w:hAnsi="Times New Roman" w:cs="Times New Roman"/>
          <w:color w:val="000000"/>
          <w:sz w:val="20"/>
          <w:szCs w:val="20"/>
        </w:rPr>
        <w:lastRenderedPageBreak/>
        <w:t xml:space="preserve">the result of </w:t>
      </w:r>
      <w:r>
        <w:rPr>
          <w:rFonts w:ascii="Times New Roman" w:hAnsi="Times New Roman" w:cs="Times New Roman"/>
          <w:i/>
          <w:iCs/>
          <w:color w:val="000000"/>
          <w:sz w:val="20"/>
          <w:szCs w:val="20"/>
        </w:rPr>
        <w:t>unauthorized disclosures</w:t>
      </w:r>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8 (emphasis added). Additionally, in summarizing the subsections, the Senate Report reiterates that “</w:t>
      </w:r>
      <w:hyperlink r:id="rId53" w:anchor="co_pp_4b24000003ba5" w:history="1">
        <w:r>
          <w:rPr>
            <w:rFonts w:ascii="Times New Roman" w:hAnsi="Times New Roman" w:cs="Times New Roman"/>
            <w:color w:val="0000FF"/>
            <w:sz w:val="20"/>
            <w:szCs w:val="20"/>
          </w:rPr>
          <w:t>Section 2710(c)</w:t>
        </w:r>
      </w:hyperlink>
      <w:r>
        <w:rPr>
          <w:rFonts w:ascii="Times New Roman" w:hAnsi="Times New Roman" w:cs="Times New Roman"/>
          <w:color w:val="000000"/>
          <w:sz w:val="20"/>
          <w:szCs w:val="20"/>
        </w:rPr>
        <w:t xml:space="preserve"> imposes liability where an individual, in violation of the Act, knowingly </w:t>
      </w:r>
      <w:r>
        <w:rPr>
          <w:rFonts w:ascii="Times New Roman" w:hAnsi="Times New Roman" w:cs="Times New Roman"/>
          <w:i/>
          <w:iCs/>
          <w:color w:val="000000"/>
          <w:sz w:val="20"/>
          <w:szCs w:val="20"/>
        </w:rPr>
        <w:t>discloses</w:t>
      </w:r>
      <w:r>
        <w:rPr>
          <w:rFonts w:ascii="Times New Roman" w:hAnsi="Times New Roman" w:cs="Times New Roman"/>
          <w:color w:val="000000"/>
          <w:sz w:val="20"/>
          <w:szCs w:val="20"/>
        </w:rPr>
        <w:t xml:space="preserve"> personally identifiable information concerning any consumer....” </w:t>
      </w:r>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14 (emphasis added).</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No similar language of liability appears in the discussion of the retention subsection. With no mention of civil liability, the Report explains that “the purpose of [the retention] provision is to reduce the chances that an individual’s privacy will be invaded, by requiring the destruction of information in an expeditious fashion, appropriate to the circumstances and to the policies protected by this Act.” </w:t>
      </w:r>
      <w:proofErr w:type="gramStart"/>
      <w:r>
        <w:rPr>
          <w:rFonts w:ascii="Times New Roman" w:hAnsi="Times New Roman" w:cs="Times New Roman"/>
          <w:i/>
          <w:iCs/>
          <w:color w:val="000000"/>
          <w:sz w:val="20"/>
          <w:szCs w:val="20"/>
        </w:rPr>
        <w:t>Id.</w:t>
      </w:r>
      <w:r>
        <w:rPr>
          <w:rFonts w:ascii="Times New Roman" w:hAnsi="Times New Roman" w:cs="Times New Roman"/>
          <w:color w:val="000000"/>
          <w:sz w:val="20"/>
          <w:szCs w:val="20"/>
        </w:rPr>
        <w:t xml:space="preserve"> at 15.</w:t>
      </w:r>
      <w:proofErr w:type="gramEnd"/>
      <w:r>
        <w:rPr>
          <w:rFonts w:ascii="Times New Roman" w:hAnsi="Times New Roman" w:cs="Times New Roman"/>
          <w:color w:val="000000"/>
          <w:sz w:val="20"/>
          <w:szCs w:val="20"/>
        </w:rPr>
        <w:t xml:space="preserve"> This legislative history persuades us that Congress did not intend to impose civil liability for violations of the retention provision.</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25" w:name="co_pp_sp_999_7_1"/>
      <w:bookmarkEnd w:id="25"/>
      <w:r>
        <w:rPr>
          <w:rFonts w:ascii="Times New Roman" w:hAnsi="Times New Roman" w:cs="Times New Roman"/>
          <w:b/>
          <w:bCs/>
          <w:color w:val="000000"/>
          <w:sz w:val="20"/>
          <w:szCs w:val="20"/>
        </w:rPr>
        <w:t>*7</w:t>
      </w:r>
      <w:r>
        <w:rPr>
          <w:rFonts w:ascii="Times New Roman" w:hAnsi="Times New Roman" w:cs="Times New Roman"/>
          <w:color w:val="000000"/>
          <w:sz w:val="20"/>
          <w:szCs w:val="20"/>
        </w:rPr>
        <w:t xml:space="preserve"> Further indication of Congressional intent may be garnered from the 2013 amendment to </w:t>
      </w:r>
      <w:hyperlink r:id="rId54" w:history="1">
        <w:r>
          <w:rPr>
            <w:rFonts w:ascii="Times New Roman" w:hAnsi="Times New Roman" w:cs="Times New Roman"/>
            <w:color w:val="0000FF"/>
            <w:sz w:val="20"/>
            <w:szCs w:val="20"/>
          </w:rPr>
          <w:t>18 U.S.C. § 2710</w:t>
        </w:r>
      </w:hyperlink>
      <w:r>
        <w:rPr>
          <w:rFonts w:ascii="Times New Roman" w:hAnsi="Times New Roman" w:cs="Times New Roman"/>
          <w:color w:val="000000"/>
          <w:sz w:val="20"/>
          <w:szCs w:val="20"/>
        </w:rPr>
        <w:t xml:space="preserve">, subsequent to the decisions of the Sixth and Seventh Circuits denying a private right of action for violation of the retention provisions of the Act. The amendment clarified that written consent of the consumer for disclosures may be obtained via the internet on an ongoing basis. </w:t>
      </w: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w:t>
      </w:r>
      <w:hyperlink r:id="rId55" w:history="1">
        <w:proofErr w:type="spellStart"/>
        <w:r>
          <w:rPr>
            <w:rFonts w:ascii="Times New Roman" w:hAnsi="Times New Roman" w:cs="Times New Roman"/>
            <w:color w:val="0000FF"/>
            <w:sz w:val="20"/>
            <w:szCs w:val="20"/>
          </w:rPr>
          <w:t>H.R.Rep</w:t>
        </w:r>
        <w:proofErr w:type="spellEnd"/>
        <w:r>
          <w:rPr>
            <w:rFonts w:ascii="Times New Roman" w:hAnsi="Times New Roman" w:cs="Times New Roman"/>
            <w:color w:val="0000FF"/>
            <w:sz w:val="20"/>
            <w:szCs w:val="20"/>
          </w:rPr>
          <w:t>. No. 112–312, at 1</w:t>
        </w:r>
      </w:hyperlink>
      <w:r>
        <w:rPr>
          <w:rFonts w:ascii="Times New Roman" w:hAnsi="Times New Roman" w:cs="Times New Roman"/>
          <w:color w:val="000000"/>
          <w:sz w:val="20"/>
          <w:szCs w:val="20"/>
        </w:rPr>
        <w:t xml:space="preserve"> (2011); </w:t>
      </w:r>
      <w:r>
        <w:rPr>
          <w:rFonts w:ascii="Times New Roman" w:hAnsi="Times New Roman" w:cs="Times New Roman"/>
          <w:i/>
          <w:iCs/>
          <w:color w:val="000000"/>
          <w:sz w:val="20"/>
          <w:szCs w:val="20"/>
        </w:rPr>
        <w:t>see also</w:t>
      </w:r>
      <w:r>
        <w:rPr>
          <w:rFonts w:ascii="Times New Roman" w:hAnsi="Times New Roman" w:cs="Times New Roman"/>
          <w:color w:val="000000"/>
          <w:sz w:val="20"/>
          <w:szCs w:val="20"/>
        </w:rPr>
        <w:t xml:space="preserve"> </w:t>
      </w:r>
      <w:hyperlink r:id="rId56" w:anchor="co_pp_424e0000ad683" w:history="1">
        <w:r>
          <w:rPr>
            <w:rFonts w:ascii="Times New Roman" w:hAnsi="Times New Roman" w:cs="Times New Roman"/>
            <w:color w:val="0000FF"/>
            <w:sz w:val="20"/>
            <w:szCs w:val="20"/>
          </w:rPr>
          <w:t>18 U.S.C. § 2710(b</w:t>
        </w:r>
        <w:proofErr w:type="gramStart"/>
        <w:r>
          <w:rPr>
            <w:rFonts w:ascii="Times New Roman" w:hAnsi="Times New Roman" w:cs="Times New Roman"/>
            <w:color w:val="0000FF"/>
            <w:sz w:val="20"/>
            <w:szCs w:val="20"/>
          </w:rPr>
          <w:t>)(</w:t>
        </w:r>
        <w:proofErr w:type="gramEnd"/>
        <w:r>
          <w:rPr>
            <w:rFonts w:ascii="Times New Roman" w:hAnsi="Times New Roman" w:cs="Times New Roman"/>
            <w:color w:val="0000FF"/>
            <w:sz w:val="20"/>
            <w:szCs w:val="20"/>
          </w:rPr>
          <w:t>2)(B) (2013)</w:t>
        </w:r>
      </w:hyperlink>
      <w:r>
        <w:rPr>
          <w:rFonts w:ascii="Times New Roman" w:hAnsi="Times New Roman" w:cs="Times New Roman"/>
          <w:color w:val="000000"/>
          <w:sz w:val="20"/>
          <w:szCs w:val="20"/>
        </w:rPr>
        <w:t xml:space="preserve">. Notably, Congress did not amend </w:t>
      </w:r>
      <w:hyperlink r:id="rId57" w:history="1">
        <w:r>
          <w:rPr>
            <w:rFonts w:ascii="Times New Roman" w:hAnsi="Times New Roman" w:cs="Times New Roman"/>
            <w:color w:val="0000FF"/>
            <w:sz w:val="20"/>
            <w:szCs w:val="20"/>
          </w:rPr>
          <w:t>§ 2710</w:t>
        </w:r>
      </w:hyperlink>
      <w:r>
        <w:rPr>
          <w:rFonts w:ascii="Times New Roman" w:hAnsi="Times New Roman" w:cs="Times New Roman"/>
          <w:color w:val="000000"/>
          <w:sz w:val="20"/>
          <w:szCs w:val="20"/>
        </w:rPr>
        <w:t xml:space="preserve"> to provide for a private right of action for retention of a consumer’s personal information in light of the Sixth and Seventh Circuit’s decisions. </w:t>
      </w:r>
      <w:r>
        <w:rPr>
          <w:rFonts w:ascii="Times New Roman" w:hAnsi="Times New Roman" w:cs="Times New Roman"/>
          <w:i/>
          <w:iCs/>
          <w:color w:val="000000"/>
          <w:sz w:val="20"/>
          <w:szCs w:val="20"/>
        </w:rPr>
        <w:t>See</w:t>
      </w:r>
      <w:r>
        <w:rPr>
          <w:rFonts w:ascii="Times New Roman" w:hAnsi="Times New Roman" w:cs="Times New Roman"/>
          <w:color w:val="000000"/>
          <w:sz w:val="20"/>
          <w:szCs w:val="20"/>
        </w:rPr>
        <w:t xml:space="preserve"> </w:t>
      </w:r>
      <w:hyperlink r:id="rId58" w:anchor="co_pp_4b24000003ba5" w:history="1">
        <w:r>
          <w:rPr>
            <w:rFonts w:ascii="Times New Roman" w:hAnsi="Times New Roman" w:cs="Times New Roman"/>
            <w:color w:val="0000FF"/>
            <w:sz w:val="20"/>
            <w:szCs w:val="20"/>
          </w:rPr>
          <w:t>18 U.S.C. § 2710(c)</w:t>
        </w:r>
      </w:hyperlink>
      <w:r>
        <w:rPr>
          <w:rFonts w:ascii="Times New Roman" w:hAnsi="Times New Roman" w:cs="Times New Roman"/>
          <w:color w:val="000000"/>
          <w:sz w:val="20"/>
          <w:szCs w:val="20"/>
        </w:rPr>
        <w:t xml:space="preserve"> &amp; </w:t>
      </w:r>
      <w:hyperlink r:id="rId59" w:anchor="co_pp_7fdd00001ca15" w:history="1">
        <w:r>
          <w:rPr>
            <w:rFonts w:ascii="Times New Roman" w:hAnsi="Times New Roman" w:cs="Times New Roman"/>
            <w:color w:val="0000FF"/>
            <w:sz w:val="20"/>
            <w:szCs w:val="20"/>
          </w:rPr>
          <w:t>(e) (2013)</w:t>
        </w:r>
      </w:hyperlink>
      <w:r>
        <w:rPr>
          <w:rFonts w:ascii="Times New Roman" w:hAnsi="Times New Roman" w:cs="Times New Roman"/>
          <w:color w:val="000000"/>
          <w:sz w:val="20"/>
          <w:szCs w:val="20"/>
        </w:rPr>
        <w:t>.</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7D5238" w:rsidRDefault="00776BCA">
      <w:pPr>
        <w:widowControl w:val="0"/>
        <w:autoSpaceDE w:val="0"/>
        <w:autoSpaceDN w:val="0"/>
        <w:adjustRightInd w:val="0"/>
        <w:spacing w:after="0" w:line="240" w:lineRule="auto"/>
        <w:jc w:val="both"/>
        <w:rPr>
          <w:rFonts w:ascii="Times New Roman" w:hAnsi="Times New Roman" w:cs="Times New Roman"/>
          <w:color w:val="000000"/>
          <w:sz w:val="16"/>
          <w:szCs w:val="16"/>
        </w:rPr>
      </w:pPr>
      <w:hyperlink w:anchor="co_anchor_F52037077884_1" w:history="1">
        <w:r w:rsidR="004B3836">
          <w:rPr>
            <w:rFonts w:ascii="Times New Roman" w:hAnsi="Times New Roman" w:cs="Times New Roman"/>
            <w:b/>
            <w:bCs/>
            <w:color w:val="252525"/>
            <w:sz w:val="20"/>
            <w:szCs w:val="20"/>
            <w:vertAlign w:val="superscript"/>
          </w:rPr>
          <w:t>[5]</w:t>
        </w:r>
      </w:hyperlink>
      <w:bookmarkStart w:id="26" w:name="co_anchor_B52037077884_1"/>
      <w:bookmarkEnd w:id="26"/>
      <w:r w:rsidR="004B3836">
        <w:rPr>
          <w:rFonts w:ascii="Times New Roman" w:hAnsi="Times New Roman" w:cs="Times New Roman"/>
          <w:color w:val="000000"/>
          <w:sz w:val="20"/>
          <w:szCs w:val="20"/>
        </w:rPr>
        <w:t xml:space="preserve"> </w:t>
      </w:r>
      <w:hyperlink w:anchor="co_anchor_F62037077884_1" w:history="1">
        <w:r w:rsidR="004B3836">
          <w:rPr>
            <w:rFonts w:ascii="Times New Roman" w:hAnsi="Times New Roman" w:cs="Times New Roman"/>
            <w:b/>
            <w:bCs/>
            <w:color w:val="252525"/>
            <w:sz w:val="20"/>
            <w:szCs w:val="20"/>
            <w:vertAlign w:val="superscript"/>
          </w:rPr>
          <w:t>[6]</w:t>
        </w:r>
      </w:hyperlink>
      <w:bookmarkStart w:id="27" w:name="co_anchor_B62037077884_1"/>
      <w:bookmarkEnd w:id="27"/>
      <w:r w:rsidR="004B3836">
        <w:rPr>
          <w:rFonts w:ascii="Times New Roman" w:hAnsi="Times New Roman" w:cs="Times New Roman"/>
          <w:color w:val="000000"/>
          <w:sz w:val="20"/>
          <w:szCs w:val="20"/>
        </w:rPr>
        <w:t xml:space="preserve"> “Under the rules of statutory construction, we presume that Congress acts with awareness of relevant judicial decisions.” </w:t>
      </w:r>
      <w:hyperlink r:id="rId60" w:anchor="co_pp_sp_506_1065" w:history="1">
        <w:proofErr w:type="gramStart"/>
        <w:r w:rsidR="004B3836">
          <w:rPr>
            <w:rFonts w:ascii="Times New Roman" w:hAnsi="Times New Roman" w:cs="Times New Roman"/>
            <w:i/>
            <w:iCs/>
            <w:color w:val="0000FF"/>
            <w:sz w:val="20"/>
            <w:szCs w:val="20"/>
          </w:rPr>
          <w:t>United States v. Alvarez–Hernandez,</w:t>
        </w:r>
        <w:r w:rsidR="004B3836">
          <w:rPr>
            <w:rFonts w:ascii="Times New Roman" w:hAnsi="Times New Roman" w:cs="Times New Roman"/>
            <w:color w:val="0000FF"/>
            <w:sz w:val="20"/>
            <w:szCs w:val="20"/>
          </w:rPr>
          <w:t xml:space="preserve"> 478 F.3d 1060, 1065 (9th Cir.2007)</w:t>
        </w:r>
      </w:hyperlink>
      <w:r w:rsidR="004B3836">
        <w:rPr>
          <w:rFonts w:ascii="Times New Roman" w:hAnsi="Times New Roman" w:cs="Times New Roman"/>
          <w:color w:val="000000"/>
          <w:sz w:val="20"/>
          <w:szCs w:val="20"/>
        </w:rPr>
        <w:t xml:space="preserve"> (citations and internal quotation marks omitted).</w:t>
      </w:r>
      <w:proofErr w:type="gramEnd"/>
      <w:r w:rsidR="004B3836">
        <w:rPr>
          <w:rFonts w:ascii="Times New Roman" w:hAnsi="Times New Roman" w:cs="Times New Roman"/>
          <w:color w:val="000000"/>
          <w:sz w:val="20"/>
          <w:szCs w:val="20"/>
        </w:rPr>
        <w:t xml:space="preserve"> “We also presume that when Congress amends a statute, it is knowledgeable about judicial decisions interpreting the prior legislation, and when judicial interpretations have settled the meaning of an existing statutory provision, repetition of the same language in a new statute indicates, as a general matter, the intent to incorporate its judicial interpretations as well.” </w:t>
      </w:r>
      <w:proofErr w:type="gramStart"/>
      <w:r w:rsidR="004B3836">
        <w:rPr>
          <w:rFonts w:ascii="Times New Roman" w:hAnsi="Times New Roman" w:cs="Times New Roman"/>
          <w:i/>
          <w:iCs/>
          <w:color w:val="000000"/>
          <w:sz w:val="20"/>
          <w:szCs w:val="20"/>
        </w:rPr>
        <w:t>Id.</w:t>
      </w:r>
      <w:r w:rsidR="004B3836">
        <w:rPr>
          <w:rFonts w:ascii="Times New Roman" w:hAnsi="Times New Roman" w:cs="Times New Roman"/>
          <w:color w:val="000000"/>
          <w:sz w:val="20"/>
          <w:szCs w:val="20"/>
        </w:rPr>
        <w:t xml:space="preserve"> (citations and internal quotation marks omitted).</w:t>
      </w:r>
      <w:proofErr w:type="gramEnd"/>
      <w:r w:rsidR="004B3836">
        <w:rPr>
          <w:rFonts w:ascii="Times New Roman" w:hAnsi="Times New Roman" w:cs="Times New Roman"/>
          <w:color w:val="000000"/>
          <w:sz w:val="20"/>
          <w:szCs w:val="20"/>
        </w:rPr>
        <w:t xml:space="preserve"> Congress’ failure to amend </w:t>
      </w:r>
      <w:hyperlink r:id="rId61" w:history="1">
        <w:r w:rsidR="004B3836">
          <w:rPr>
            <w:rFonts w:ascii="Times New Roman" w:hAnsi="Times New Roman" w:cs="Times New Roman"/>
            <w:color w:val="0000FF"/>
            <w:sz w:val="20"/>
            <w:szCs w:val="20"/>
          </w:rPr>
          <w:t>18 U.S.C. § 2710</w:t>
        </w:r>
      </w:hyperlink>
      <w:r w:rsidR="004B3836">
        <w:rPr>
          <w:rFonts w:ascii="Times New Roman" w:hAnsi="Times New Roman" w:cs="Times New Roman"/>
          <w:color w:val="000000"/>
          <w:sz w:val="20"/>
          <w:szCs w:val="20"/>
        </w:rPr>
        <w:t xml:space="preserve"> provides further support for our conclusion of Congressional intent to limit any private right of action to claims involving unlawful disclosure. </w:t>
      </w:r>
      <w:r w:rsidR="004B3836">
        <w:rPr>
          <w:rFonts w:ascii="Times New Roman" w:hAnsi="Times New Roman" w:cs="Times New Roman"/>
          <w:i/>
          <w:iCs/>
          <w:color w:val="000000"/>
          <w:sz w:val="20"/>
          <w:szCs w:val="20"/>
        </w:rPr>
        <w:t>See id.</w:t>
      </w:r>
      <w:bookmarkStart w:id="28" w:name="co_footnoteReference_B00542037077884_ID0"/>
      <w:bookmarkEnd w:id="28"/>
      <w:r w:rsidR="004B3836">
        <w:rPr>
          <w:rFonts w:ascii="Times New Roman" w:hAnsi="Times New Roman" w:cs="Times New Roman"/>
          <w:color w:val="000000"/>
          <w:sz w:val="16"/>
          <w:szCs w:val="16"/>
        </w:rPr>
        <w:fldChar w:fldCharType="begin"/>
      </w:r>
      <w:r w:rsidR="004B3836">
        <w:rPr>
          <w:rFonts w:ascii="Times New Roman" w:hAnsi="Times New Roman" w:cs="Times New Roman"/>
          <w:color w:val="000000"/>
          <w:sz w:val="16"/>
          <w:szCs w:val="16"/>
        </w:rPr>
        <w:instrText xml:space="preserve">HYPERLINK "#co_footnote_B00542037077884_1" </w:instrText>
      </w:r>
      <w:r w:rsidR="004B3836">
        <w:rPr>
          <w:rFonts w:ascii="Times New Roman" w:hAnsi="Times New Roman" w:cs="Times New Roman"/>
          <w:color w:val="000000"/>
          <w:sz w:val="16"/>
          <w:szCs w:val="16"/>
        </w:rPr>
        <w:fldChar w:fldCharType="separate"/>
      </w:r>
      <w:r w:rsidR="004B3836">
        <w:rPr>
          <w:rFonts w:ascii="Times New Roman" w:hAnsi="Times New Roman" w:cs="Times New Roman"/>
          <w:color w:val="0000FF"/>
          <w:sz w:val="16"/>
          <w:szCs w:val="16"/>
          <w:vertAlign w:val="superscript"/>
        </w:rPr>
        <w:t>4</w:t>
      </w:r>
      <w:r w:rsidR="004B3836">
        <w:rPr>
          <w:rFonts w:ascii="Times New Roman" w:hAnsi="Times New Roman" w:cs="Times New Roman"/>
          <w:color w:val="000000"/>
          <w:sz w:val="16"/>
          <w:szCs w:val="16"/>
        </w:rPr>
        <w:fldChar w:fldCharType="end"/>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Rodriguez asserts that, even if </w:t>
      </w:r>
      <w:proofErr w:type="spellStart"/>
      <w:r>
        <w:rPr>
          <w:rFonts w:ascii="Times New Roman" w:hAnsi="Times New Roman" w:cs="Times New Roman"/>
          <w:i/>
          <w:iCs/>
          <w:color w:val="000000"/>
          <w:sz w:val="20"/>
          <w:szCs w:val="20"/>
        </w:rPr>
        <w:t>Sterk</w:t>
      </w:r>
      <w:proofErr w:type="spellEnd"/>
      <w:r>
        <w:rPr>
          <w:rFonts w:ascii="Times New Roman" w:hAnsi="Times New Roman" w:cs="Times New Roman"/>
          <w:i/>
          <w:iCs/>
          <w:color w:val="000000"/>
          <w:sz w:val="20"/>
          <w:szCs w:val="20"/>
        </w:rPr>
        <w:t xml:space="preserve"> I</w:t>
      </w:r>
      <w:r>
        <w:rPr>
          <w:rFonts w:ascii="Times New Roman" w:hAnsi="Times New Roman" w:cs="Times New Roman"/>
          <w:color w:val="000000"/>
          <w:sz w:val="20"/>
          <w:szCs w:val="20"/>
        </w:rPr>
        <w:t xml:space="preserve"> was properly decided, the district court misapplied </w:t>
      </w:r>
      <w:proofErr w:type="spellStart"/>
      <w:r>
        <w:rPr>
          <w:rFonts w:ascii="Times New Roman" w:hAnsi="Times New Roman" w:cs="Times New Roman"/>
          <w:i/>
          <w:iCs/>
          <w:color w:val="000000"/>
          <w:sz w:val="20"/>
          <w:szCs w:val="20"/>
        </w:rPr>
        <w:t>Sterk</w:t>
      </w:r>
      <w:proofErr w:type="spellEnd"/>
      <w:r>
        <w:rPr>
          <w:rFonts w:ascii="Times New Roman" w:hAnsi="Times New Roman" w:cs="Times New Roman"/>
          <w:i/>
          <w:iCs/>
          <w:color w:val="000000"/>
          <w:sz w:val="20"/>
          <w:szCs w:val="20"/>
        </w:rPr>
        <w:t xml:space="preserve"> I</w:t>
      </w:r>
      <w:r>
        <w:rPr>
          <w:rFonts w:ascii="Times New Roman" w:hAnsi="Times New Roman" w:cs="Times New Roman"/>
          <w:color w:val="000000"/>
          <w:sz w:val="20"/>
          <w:szCs w:val="20"/>
        </w:rPr>
        <w:t xml:space="preserve"> as precluding any form of relief because the Seventh Circuit’s opinion was limited to an award of damages. However, the Seventh </w:t>
      </w:r>
      <w:r>
        <w:rPr>
          <w:rFonts w:ascii="Times New Roman" w:hAnsi="Times New Roman" w:cs="Times New Roman"/>
          <w:color w:val="000000"/>
          <w:sz w:val="20"/>
          <w:szCs w:val="20"/>
        </w:rPr>
        <w:lastRenderedPageBreak/>
        <w:t>Circuit specifically held:</w:t>
      </w:r>
    </w:p>
    <w:p w:rsidR="007D5238" w:rsidRDefault="004B3836">
      <w:pPr>
        <w:widowControl w:val="0"/>
        <w:autoSpaceDE w:val="0"/>
        <w:autoSpaceDN w:val="0"/>
        <w:adjustRightInd w:val="0"/>
        <w:spacing w:before="250" w:after="50" w:line="240" w:lineRule="auto"/>
        <w:ind w:left="1000" w:right="800"/>
        <w:jc w:val="both"/>
        <w:rPr>
          <w:rFonts w:ascii="Times New Roman" w:hAnsi="Times New Roman" w:cs="Times New Roman"/>
          <w:color w:val="000000"/>
          <w:sz w:val="20"/>
          <w:szCs w:val="20"/>
        </w:rPr>
      </w:pPr>
      <w:r>
        <w:rPr>
          <w:rFonts w:ascii="Times New Roman" w:hAnsi="Times New Roman" w:cs="Times New Roman"/>
          <w:color w:val="000000"/>
          <w:sz w:val="20"/>
          <w:szCs w:val="20"/>
        </w:rPr>
        <w:t>It is true that subsection (c) authorizes other relief besides just damages, relief less obviously inappropriate to a violation of (d). That is particularly true of equitable relief, authorized in subsection (c</w:t>
      </w:r>
      <w:proofErr w:type="gramStart"/>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2)(D). But when all that a plaintiff seeks is to enjoin an unlawful act, there is no need for express statutory authorization; absent the clearest command to the contrary from Congress, federal courts retain their equitable power to issue injunctions in suits over which they have jurisdiction.</w:t>
      </w:r>
    </w:p>
    <w:p w:rsidR="007D5238" w:rsidRDefault="00776BCA">
      <w:pPr>
        <w:widowControl w:val="0"/>
        <w:autoSpaceDE w:val="0"/>
        <w:autoSpaceDN w:val="0"/>
        <w:adjustRightInd w:val="0"/>
        <w:spacing w:before="200" w:after="0" w:line="240" w:lineRule="auto"/>
        <w:jc w:val="both"/>
        <w:rPr>
          <w:rFonts w:ascii="Times New Roman" w:hAnsi="Times New Roman" w:cs="Times New Roman"/>
          <w:i/>
          <w:iCs/>
          <w:color w:val="000000"/>
          <w:sz w:val="20"/>
          <w:szCs w:val="20"/>
        </w:rPr>
      </w:pPr>
      <w:hyperlink r:id="rId62" w:anchor="co_pp_sp_506_539" w:history="1">
        <w:proofErr w:type="spellStart"/>
        <w:proofErr w:type="gramStart"/>
        <w:r w:rsidR="004B3836">
          <w:rPr>
            <w:rFonts w:ascii="Times New Roman" w:hAnsi="Times New Roman" w:cs="Times New Roman"/>
            <w:i/>
            <w:iCs/>
            <w:color w:val="0000FF"/>
            <w:sz w:val="20"/>
            <w:szCs w:val="20"/>
          </w:rPr>
          <w:t>Sterk</w:t>
        </w:r>
        <w:proofErr w:type="spellEnd"/>
        <w:r w:rsidR="004B3836">
          <w:rPr>
            <w:rFonts w:ascii="Times New Roman" w:hAnsi="Times New Roman" w:cs="Times New Roman"/>
            <w:i/>
            <w:iCs/>
            <w:color w:val="0000FF"/>
            <w:sz w:val="20"/>
            <w:szCs w:val="20"/>
          </w:rPr>
          <w:t xml:space="preserve"> I,</w:t>
        </w:r>
        <w:r w:rsidR="004B3836">
          <w:rPr>
            <w:rFonts w:ascii="Times New Roman" w:hAnsi="Times New Roman" w:cs="Times New Roman"/>
            <w:color w:val="0000FF"/>
            <w:sz w:val="20"/>
            <w:szCs w:val="20"/>
          </w:rPr>
          <w:t xml:space="preserve"> 672 F.3d at 539</w:t>
        </w:r>
      </w:hyperlink>
      <w:r w:rsidR="004B3836">
        <w:rPr>
          <w:rFonts w:ascii="Times New Roman" w:hAnsi="Times New Roman" w:cs="Times New Roman"/>
          <w:color w:val="000000"/>
          <w:sz w:val="20"/>
          <w:szCs w:val="20"/>
        </w:rPr>
        <w:t xml:space="preserve"> (citations and internal quotation marks omitted).</w:t>
      </w:r>
      <w:proofErr w:type="gramEnd"/>
      <w:r w:rsidR="004B3836">
        <w:rPr>
          <w:rFonts w:ascii="Times New Roman" w:hAnsi="Times New Roman" w:cs="Times New Roman"/>
          <w:color w:val="000000"/>
          <w:sz w:val="20"/>
          <w:szCs w:val="20"/>
        </w:rPr>
        <w:t xml:space="preserve"> As the Seventh Circuit observed, the Act’s mere mention of equitable relief in a provision that is inapplicable to retention of a consumer’s personal information does not support Rodriguez’s assertion of a private right of action. </w:t>
      </w:r>
      <w:r w:rsidR="004B3836">
        <w:rPr>
          <w:rFonts w:ascii="Times New Roman" w:hAnsi="Times New Roman" w:cs="Times New Roman"/>
          <w:i/>
          <w:iCs/>
          <w:color w:val="000000"/>
          <w:sz w:val="20"/>
          <w:szCs w:val="20"/>
        </w:rPr>
        <w:t>See id.</w:t>
      </w:r>
      <w:r w:rsidR="004B3836">
        <w:rPr>
          <w:rFonts w:ascii="Times New Roman" w:hAnsi="Times New Roman" w:cs="Times New Roman"/>
          <w:color w:val="000000"/>
          <w:sz w:val="20"/>
          <w:szCs w:val="20"/>
        </w:rPr>
        <w:t xml:space="preserve"> In other words, the equitable relief provided in subsection (c</w:t>
      </w:r>
      <w:proofErr w:type="gramStart"/>
      <w:r w:rsidR="004B3836">
        <w:rPr>
          <w:rFonts w:ascii="Times New Roman" w:hAnsi="Times New Roman" w:cs="Times New Roman"/>
          <w:color w:val="000000"/>
          <w:sz w:val="20"/>
          <w:szCs w:val="20"/>
        </w:rPr>
        <w:t>)(</w:t>
      </w:r>
      <w:proofErr w:type="gramEnd"/>
      <w:r w:rsidR="004B3836">
        <w:rPr>
          <w:rFonts w:ascii="Times New Roman" w:hAnsi="Times New Roman" w:cs="Times New Roman"/>
          <w:color w:val="000000"/>
          <w:sz w:val="20"/>
          <w:szCs w:val="20"/>
        </w:rPr>
        <w:t xml:space="preserve">2)(D) does not provide an independent basis for a private right of action because it merely delineates relief that is traditionally within the court’s inherent authority. </w:t>
      </w:r>
      <w:r w:rsidR="004B3836">
        <w:rPr>
          <w:rFonts w:ascii="Times New Roman" w:hAnsi="Times New Roman" w:cs="Times New Roman"/>
          <w:i/>
          <w:iCs/>
          <w:color w:val="000000"/>
          <w:sz w:val="20"/>
          <w:szCs w:val="20"/>
        </w:rPr>
        <w:t xml:space="preserve">See </w:t>
      </w:r>
      <w:hyperlink r:id="rId63" w:anchor="co_pp_sp_506_1121" w:history="1">
        <w:r w:rsidR="004B3836">
          <w:rPr>
            <w:rFonts w:ascii="Times New Roman" w:hAnsi="Times New Roman" w:cs="Times New Roman"/>
            <w:i/>
            <w:iCs/>
            <w:color w:val="0000FF"/>
            <w:sz w:val="20"/>
            <w:szCs w:val="20"/>
          </w:rPr>
          <w:t xml:space="preserve">Owner–Operator </w:t>
        </w:r>
        <w:proofErr w:type="spellStart"/>
        <w:r w:rsidR="004B3836">
          <w:rPr>
            <w:rFonts w:ascii="Times New Roman" w:hAnsi="Times New Roman" w:cs="Times New Roman"/>
            <w:i/>
            <w:iCs/>
            <w:color w:val="0000FF"/>
            <w:sz w:val="20"/>
            <w:szCs w:val="20"/>
          </w:rPr>
          <w:t>Indep</w:t>
        </w:r>
        <w:proofErr w:type="spellEnd"/>
        <w:r w:rsidR="004B3836">
          <w:rPr>
            <w:rFonts w:ascii="Times New Roman" w:hAnsi="Times New Roman" w:cs="Times New Roman"/>
            <w:i/>
            <w:iCs/>
            <w:color w:val="0000FF"/>
            <w:sz w:val="20"/>
            <w:szCs w:val="20"/>
          </w:rPr>
          <w:t xml:space="preserve">. Drivers </w:t>
        </w:r>
        <w:proofErr w:type="spellStart"/>
        <w:r w:rsidR="004B3836">
          <w:rPr>
            <w:rFonts w:ascii="Times New Roman" w:hAnsi="Times New Roman" w:cs="Times New Roman"/>
            <w:i/>
            <w:iCs/>
            <w:color w:val="0000FF"/>
            <w:sz w:val="20"/>
            <w:szCs w:val="20"/>
          </w:rPr>
          <w:t>Ass’n</w:t>
        </w:r>
        <w:proofErr w:type="spellEnd"/>
        <w:r w:rsidR="004B3836">
          <w:rPr>
            <w:rFonts w:ascii="Times New Roman" w:hAnsi="Times New Roman" w:cs="Times New Roman"/>
            <w:i/>
            <w:iCs/>
            <w:color w:val="0000FF"/>
            <w:sz w:val="20"/>
            <w:szCs w:val="20"/>
          </w:rPr>
          <w:t>, Inc. v. Swift Transp. Co., Inc. (AZ),</w:t>
        </w:r>
        <w:r w:rsidR="004B3836">
          <w:rPr>
            <w:rFonts w:ascii="Times New Roman" w:hAnsi="Times New Roman" w:cs="Times New Roman"/>
            <w:color w:val="0000FF"/>
            <w:sz w:val="20"/>
            <w:szCs w:val="20"/>
          </w:rPr>
          <w:t xml:space="preserve"> 632 F.3d 1111, 1121 (9th Cir.2011)</w:t>
        </w:r>
      </w:hyperlink>
      <w:r w:rsidR="004B3836">
        <w:rPr>
          <w:rFonts w:ascii="Times New Roman" w:hAnsi="Times New Roman" w:cs="Times New Roman"/>
          <w:color w:val="000000"/>
          <w:sz w:val="20"/>
          <w:szCs w:val="20"/>
        </w:rPr>
        <w:t xml:space="preserve"> (articulating that “unless otherwise provided by statute, the court retains its full equitable powers”) (citations and internal quotation marks omitted). Thus, Rodriguez’s action for injunctive relief fares no better under </w:t>
      </w:r>
      <w:proofErr w:type="spellStart"/>
      <w:r w:rsidR="004B3836">
        <w:rPr>
          <w:rFonts w:ascii="Times New Roman" w:hAnsi="Times New Roman" w:cs="Times New Roman"/>
          <w:i/>
          <w:iCs/>
          <w:color w:val="000000"/>
          <w:sz w:val="20"/>
          <w:szCs w:val="20"/>
        </w:rPr>
        <w:t>Sterk</w:t>
      </w:r>
      <w:proofErr w:type="spellEnd"/>
      <w:r w:rsidR="004B3836">
        <w:rPr>
          <w:rFonts w:ascii="Times New Roman" w:hAnsi="Times New Roman" w:cs="Times New Roman"/>
          <w:i/>
          <w:iCs/>
          <w:color w:val="000000"/>
          <w:sz w:val="20"/>
          <w:szCs w:val="20"/>
        </w:rPr>
        <w:t xml:space="preserve"> I.</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29" w:name="co_pp_sp_999_8_1"/>
      <w:bookmarkEnd w:id="29"/>
      <w:r>
        <w:rPr>
          <w:rFonts w:ascii="Times New Roman" w:hAnsi="Times New Roman" w:cs="Times New Roman"/>
          <w:b/>
          <w:bCs/>
          <w:color w:val="000000"/>
          <w:sz w:val="20"/>
          <w:szCs w:val="20"/>
        </w:rPr>
        <w:t>*8</w:t>
      </w:r>
      <w:r>
        <w:rPr>
          <w:rFonts w:ascii="Times New Roman" w:hAnsi="Times New Roman" w:cs="Times New Roman"/>
          <w:color w:val="000000"/>
          <w:sz w:val="20"/>
          <w:szCs w:val="20"/>
        </w:rPr>
        <w:t xml:space="preserve"> After carefully examining the legislative history, structure and language of </w:t>
      </w:r>
      <w:hyperlink r:id="rId64" w:history="1">
        <w:r>
          <w:rPr>
            <w:rFonts w:ascii="Times New Roman" w:hAnsi="Times New Roman" w:cs="Times New Roman"/>
            <w:color w:val="0000FF"/>
            <w:sz w:val="20"/>
            <w:szCs w:val="20"/>
          </w:rPr>
          <w:t>18 U.S.C. § 2710</w:t>
        </w:r>
      </w:hyperlink>
      <w:r>
        <w:rPr>
          <w:rFonts w:ascii="Times New Roman" w:hAnsi="Times New Roman" w:cs="Times New Roman"/>
          <w:color w:val="000000"/>
          <w:sz w:val="20"/>
          <w:szCs w:val="20"/>
        </w:rPr>
        <w:t xml:space="preserve"> as a whole, we agree with the Sixth and Seventh Circuits, and conclude that the district court properly dismissed Rodriguez’s unlawful retention claim for lack of a private right of action.</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7D5238" w:rsidRDefault="007D523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30" w:name="co_anchor_If5e618e975ac11e598dc8b09b4f04"/>
      <w:bookmarkEnd w:id="30"/>
    </w:p>
    <w:p w:rsidR="007D5238" w:rsidRDefault="004B3836">
      <w:pPr>
        <w:widowControl w:val="0"/>
        <w:autoSpaceDE w:val="0"/>
        <w:autoSpaceDN w:val="0"/>
        <w:adjustRightInd w:val="0"/>
        <w:spacing w:before="200"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B. Rodriguez’s Unlawful Disclosure Claim</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Rodriguez contends that the district court erred in dismissing his unlawful disclosure claim pursuant to the ordinary course of business exception provided in </w:t>
      </w:r>
      <w:hyperlink r:id="rId65" w:history="1">
        <w:r>
          <w:rPr>
            <w:rFonts w:ascii="Times New Roman" w:hAnsi="Times New Roman" w:cs="Times New Roman"/>
            <w:color w:val="0000FF"/>
            <w:sz w:val="20"/>
            <w:szCs w:val="20"/>
          </w:rPr>
          <w:t>18 U.S.C. § 2710</w:t>
        </w:r>
      </w:hyperlink>
      <w:r>
        <w:rPr>
          <w:rFonts w:ascii="Times New Roman" w:hAnsi="Times New Roman" w:cs="Times New Roman"/>
          <w:color w:val="000000"/>
          <w:sz w:val="20"/>
          <w:szCs w:val="20"/>
        </w:rPr>
        <w:t>. Rodriguez specifically asserts that he sufficiently alleged an unlawful disclosure claim premised on disclosure of his personal information between distinct corporate entities to which the exception was inapplicable, and that Sony’s transfer of ownership between Sony Computer and Sony Network was a factual issue not resolvable at the motion to dismiss stage.</w:t>
      </w:r>
      <w:bookmarkStart w:id="31" w:name="co_footnoteReference_B00652037077884_ID0"/>
      <w:bookmarkEnd w:id="31"/>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"#co_footnote_B00652037077884_1" </w:instrText>
      </w:r>
      <w:r>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5</w:t>
      </w:r>
      <w:r>
        <w:rPr>
          <w:rFonts w:ascii="Times New Roman" w:hAnsi="Times New Roman" w:cs="Times New Roman"/>
          <w:color w:val="000000"/>
          <w:sz w:val="16"/>
          <w:szCs w:val="16"/>
        </w:rPr>
        <w:fldChar w:fldCharType="end"/>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w:t>
      </w:r>
    </w:p>
    <w:p w:rsidR="007D5238" w:rsidRDefault="00776BCA">
      <w:pPr>
        <w:widowControl w:val="0"/>
        <w:autoSpaceDE w:val="0"/>
        <w:autoSpaceDN w:val="0"/>
        <w:adjustRightInd w:val="0"/>
        <w:spacing w:after="0" w:line="240" w:lineRule="auto"/>
        <w:jc w:val="both"/>
        <w:rPr>
          <w:rFonts w:ascii="Times New Roman" w:hAnsi="Times New Roman" w:cs="Times New Roman"/>
          <w:i/>
          <w:iCs/>
          <w:color w:val="000000"/>
          <w:sz w:val="20"/>
          <w:szCs w:val="20"/>
        </w:rPr>
      </w:pPr>
      <w:hyperlink w:anchor="co_anchor_F72037077884_1" w:history="1">
        <w:r w:rsidR="004B3836">
          <w:rPr>
            <w:rFonts w:ascii="Times New Roman" w:hAnsi="Times New Roman" w:cs="Times New Roman"/>
            <w:b/>
            <w:bCs/>
            <w:color w:val="252525"/>
            <w:sz w:val="20"/>
            <w:szCs w:val="20"/>
            <w:vertAlign w:val="superscript"/>
          </w:rPr>
          <w:t>[7]</w:t>
        </w:r>
      </w:hyperlink>
      <w:bookmarkStart w:id="32" w:name="co_anchor_B72037077884_1"/>
      <w:bookmarkEnd w:id="32"/>
      <w:r w:rsidR="004B3836">
        <w:rPr>
          <w:rFonts w:ascii="Times New Roman" w:hAnsi="Times New Roman" w:cs="Times New Roman"/>
          <w:color w:val="000000"/>
          <w:sz w:val="20"/>
          <w:szCs w:val="20"/>
        </w:rPr>
        <w:t xml:space="preserve"> The district court properly dismissed Rodriguez’s unlawful disclosure claim pursuant to the Act’s exemption for disclosures made “incident to the ordinary course of business of the video tape service provider[.]” </w:t>
      </w:r>
      <w:hyperlink r:id="rId66" w:anchor="co_pp_f7fb0000553d1" w:history="1">
        <w:r w:rsidR="004B3836">
          <w:rPr>
            <w:rFonts w:ascii="Times New Roman" w:hAnsi="Times New Roman" w:cs="Times New Roman"/>
            <w:color w:val="0000FF"/>
            <w:sz w:val="20"/>
            <w:szCs w:val="20"/>
          </w:rPr>
          <w:t>18 U.S.C. § 2710(b)(2)(E)</w:t>
        </w:r>
      </w:hyperlink>
      <w:r w:rsidR="004B3836">
        <w:rPr>
          <w:rFonts w:ascii="Times New Roman" w:hAnsi="Times New Roman" w:cs="Times New Roman"/>
          <w:color w:val="000000"/>
          <w:sz w:val="20"/>
          <w:szCs w:val="20"/>
        </w:rPr>
        <w:t xml:space="preserve">. The Act defines “ordinary course of business” as meaning “debt collection activities, order fulfillment, request processing, and the transfer of ownership.” </w:t>
      </w:r>
      <w:hyperlink r:id="rId67" w:anchor="co_pp_d86d0000be040" w:history="1">
        <w:r w:rsidR="004B3836">
          <w:rPr>
            <w:rFonts w:ascii="Times New Roman" w:hAnsi="Times New Roman" w:cs="Times New Roman"/>
            <w:color w:val="0000FF"/>
            <w:sz w:val="20"/>
            <w:szCs w:val="20"/>
          </w:rPr>
          <w:t>18 U.S.C. § 2710(a</w:t>
        </w:r>
        <w:proofErr w:type="gramStart"/>
        <w:r w:rsidR="004B3836">
          <w:rPr>
            <w:rFonts w:ascii="Times New Roman" w:hAnsi="Times New Roman" w:cs="Times New Roman"/>
            <w:color w:val="0000FF"/>
            <w:sz w:val="20"/>
            <w:szCs w:val="20"/>
          </w:rPr>
          <w:t>)(</w:t>
        </w:r>
        <w:proofErr w:type="gramEnd"/>
        <w:r w:rsidR="004B3836">
          <w:rPr>
            <w:rFonts w:ascii="Times New Roman" w:hAnsi="Times New Roman" w:cs="Times New Roman"/>
            <w:color w:val="0000FF"/>
            <w:sz w:val="20"/>
            <w:szCs w:val="20"/>
          </w:rPr>
          <w:t>2)</w:t>
        </w:r>
      </w:hyperlink>
      <w:r w:rsidR="004B3836">
        <w:rPr>
          <w:rFonts w:ascii="Times New Roman" w:hAnsi="Times New Roman" w:cs="Times New Roman"/>
          <w:color w:val="000000"/>
          <w:sz w:val="20"/>
          <w:szCs w:val="20"/>
        </w:rPr>
        <w:t>. In the First Amended Complaint that was subject to the district court’s first order of dismissal, Rodriguez expressly alleged that Sony Computer “shared, sold, and/or transferred” his personal information to Sony Network after Sony Network “took over the [</w:t>
      </w:r>
      <w:proofErr w:type="spellStart"/>
      <w:r w:rsidR="004B3836">
        <w:rPr>
          <w:rFonts w:ascii="Times New Roman" w:hAnsi="Times New Roman" w:cs="Times New Roman"/>
          <w:color w:val="000000"/>
          <w:sz w:val="20"/>
          <w:szCs w:val="20"/>
        </w:rPr>
        <w:t>Playstation</w:t>
      </w:r>
      <w:proofErr w:type="spellEnd"/>
      <w:r w:rsidR="004B3836">
        <w:rPr>
          <w:rFonts w:ascii="Times New Roman" w:hAnsi="Times New Roman" w:cs="Times New Roman"/>
          <w:color w:val="000000"/>
          <w:sz w:val="20"/>
          <w:szCs w:val="20"/>
        </w:rPr>
        <w:t xml:space="preserve"> Network].” The plain language of the Act exempts the transfer of ownership alleged in the First Amended Complaint. </w:t>
      </w:r>
      <w:r w:rsidR="004B3836">
        <w:rPr>
          <w:rFonts w:ascii="Times New Roman" w:hAnsi="Times New Roman" w:cs="Times New Roman"/>
          <w:i/>
          <w:iCs/>
          <w:color w:val="000000"/>
          <w:sz w:val="20"/>
          <w:szCs w:val="20"/>
        </w:rPr>
        <w:t>See id.</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20"/>
          <w:szCs w:val="20"/>
        </w:rPr>
        <w:t xml:space="preserve">Rodriguez’s subsequent attempt to thwart the statutory language by artfully pleading that Sony Network assumed the management of the PlayStation Network as opposed to assuming ownership is unconvincing, especially considering that the more recent pleading completely contradicts the earlier pleading. </w:t>
      </w:r>
      <w:r>
        <w:rPr>
          <w:rFonts w:ascii="Times New Roman" w:hAnsi="Times New Roman" w:cs="Times New Roman"/>
          <w:i/>
          <w:iCs/>
          <w:color w:val="000000"/>
          <w:sz w:val="20"/>
          <w:szCs w:val="20"/>
        </w:rPr>
        <w:t xml:space="preserve">See </w:t>
      </w:r>
      <w:hyperlink r:id="rId68" w:anchor="co_pp_sp_506_551" w:history="1">
        <w:r>
          <w:rPr>
            <w:rFonts w:ascii="Times New Roman" w:hAnsi="Times New Roman" w:cs="Times New Roman"/>
            <w:i/>
            <w:iCs/>
            <w:color w:val="0000FF"/>
            <w:sz w:val="20"/>
            <w:szCs w:val="20"/>
          </w:rPr>
          <w:t>Saldana v. Occidental Petroleum Corp.,</w:t>
        </w:r>
        <w:r>
          <w:rPr>
            <w:rFonts w:ascii="Times New Roman" w:hAnsi="Times New Roman" w:cs="Times New Roman"/>
            <w:color w:val="0000FF"/>
            <w:sz w:val="20"/>
            <w:szCs w:val="20"/>
          </w:rPr>
          <w:t xml:space="preserve"> 774 F.3d 544, 551 (9th Cir.2014)</w:t>
        </w:r>
      </w:hyperlink>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 “</w:t>
      </w:r>
      <w:proofErr w:type="gramEnd"/>
      <w:r>
        <w:rPr>
          <w:rFonts w:ascii="Times New Roman" w:hAnsi="Times New Roman" w:cs="Times New Roman"/>
          <w:color w:val="000000"/>
          <w:sz w:val="20"/>
          <w:szCs w:val="20"/>
        </w:rPr>
        <w:t xml:space="preserve">We ... need not accept as true legal conclusions contained in the complaint.”) (citation omitted); </w:t>
      </w:r>
      <w:r>
        <w:rPr>
          <w:rFonts w:ascii="Times New Roman" w:hAnsi="Times New Roman" w:cs="Times New Roman"/>
          <w:i/>
          <w:iCs/>
          <w:color w:val="000000"/>
          <w:sz w:val="20"/>
          <w:szCs w:val="20"/>
        </w:rPr>
        <w:t xml:space="preserve">see also </w:t>
      </w:r>
      <w:hyperlink r:id="rId69" w:anchor="co_pp_sp_506_995" w:history="1">
        <w:r>
          <w:rPr>
            <w:rFonts w:ascii="Times New Roman" w:hAnsi="Times New Roman" w:cs="Times New Roman"/>
            <w:i/>
            <w:iCs/>
            <w:color w:val="0000FF"/>
            <w:sz w:val="20"/>
            <w:szCs w:val="20"/>
          </w:rPr>
          <w:t>United States v. Corinthian Colls.,</w:t>
        </w:r>
        <w:r>
          <w:rPr>
            <w:rFonts w:ascii="Times New Roman" w:hAnsi="Times New Roman" w:cs="Times New Roman"/>
            <w:color w:val="0000FF"/>
            <w:sz w:val="20"/>
            <w:szCs w:val="20"/>
          </w:rPr>
          <w:t xml:space="preserve"> 655 F.3d 984, 995 (9th Cir.2011)</w:t>
        </w:r>
      </w:hyperlink>
      <w:r>
        <w:rPr>
          <w:rFonts w:ascii="Times New Roman" w:hAnsi="Times New Roman" w:cs="Times New Roman"/>
          <w:color w:val="000000"/>
          <w:sz w:val="20"/>
          <w:szCs w:val="20"/>
        </w:rPr>
        <w:t xml:space="preserve"> (explaining that an amended complaint should aver “additional allegations that are consistent with the challenged pleading and that do not contradict the allegations in the original complaint”) (citation and internal quotation marks omitted).</w:t>
      </w:r>
      <w:bookmarkStart w:id="33" w:name="co_footnoteReference_B00762037077884_ID0"/>
      <w:bookmarkEnd w:id="33"/>
      <w:r>
        <w:rPr>
          <w:rFonts w:ascii="Times New Roman" w:hAnsi="Times New Roman" w:cs="Times New Roman"/>
          <w:color w:val="000000"/>
          <w:sz w:val="16"/>
          <w:szCs w:val="16"/>
        </w:rPr>
        <w:fldChar w:fldCharType="begin"/>
      </w:r>
      <w:r>
        <w:rPr>
          <w:rFonts w:ascii="Times New Roman" w:hAnsi="Times New Roman" w:cs="Times New Roman"/>
          <w:color w:val="000000"/>
          <w:sz w:val="16"/>
          <w:szCs w:val="16"/>
        </w:rPr>
        <w:instrText xml:space="preserve">HYPERLINK "#co_footnote_B00762037077884_1" </w:instrText>
      </w:r>
      <w:r>
        <w:rPr>
          <w:rFonts w:ascii="Times New Roman" w:hAnsi="Times New Roman" w:cs="Times New Roman"/>
          <w:color w:val="000000"/>
          <w:sz w:val="16"/>
          <w:szCs w:val="16"/>
        </w:rPr>
        <w:fldChar w:fldCharType="separate"/>
      </w:r>
      <w:r>
        <w:rPr>
          <w:rFonts w:ascii="Times New Roman" w:hAnsi="Times New Roman" w:cs="Times New Roman"/>
          <w:color w:val="0000FF"/>
          <w:sz w:val="16"/>
          <w:szCs w:val="16"/>
          <w:vertAlign w:val="superscript"/>
        </w:rPr>
        <w:t>6</w:t>
      </w:r>
      <w:r>
        <w:rPr>
          <w:rFonts w:ascii="Times New Roman" w:hAnsi="Times New Roman" w:cs="Times New Roman"/>
          <w:color w:val="000000"/>
          <w:sz w:val="16"/>
          <w:szCs w:val="16"/>
        </w:rPr>
        <w:fldChar w:fldCharType="end"/>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7D5238" w:rsidRDefault="00776BCA">
      <w:pPr>
        <w:widowControl w:val="0"/>
        <w:autoSpaceDE w:val="0"/>
        <w:autoSpaceDN w:val="0"/>
        <w:adjustRightInd w:val="0"/>
        <w:spacing w:after="0" w:line="240" w:lineRule="auto"/>
        <w:jc w:val="both"/>
        <w:rPr>
          <w:rFonts w:ascii="Times New Roman" w:hAnsi="Times New Roman" w:cs="Times New Roman"/>
          <w:color w:val="000000"/>
          <w:sz w:val="20"/>
          <w:szCs w:val="20"/>
        </w:rPr>
      </w:pPr>
      <w:hyperlink w:anchor="co_anchor_F82037077884_1" w:history="1">
        <w:r w:rsidR="004B3836">
          <w:rPr>
            <w:rFonts w:ascii="Times New Roman" w:hAnsi="Times New Roman" w:cs="Times New Roman"/>
            <w:b/>
            <w:bCs/>
            <w:color w:val="252525"/>
            <w:sz w:val="20"/>
            <w:szCs w:val="20"/>
            <w:vertAlign w:val="superscript"/>
          </w:rPr>
          <w:t>[8]</w:t>
        </w:r>
      </w:hyperlink>
      <w:bookmarkStart w:id="34" w:name="co_anchor_B82037077884_1"/>
      <w:bookmarkEnd w:id="34"/>
      <w:r w:rsidR="004B3836">
        <w:rPr>
          <w:rFonts w:ascii="Times New Roman" w:hAnsi="Times New Roman" w:cs="Times New Roman"/>
          <w:color w:val="000000"/>
          <w:sz w:val="20"/>
          <w:szCs w:val="20"/>
        </w:rPr>
        <w:t xml:space="preserve"> We also agree with the Seventh Circuit that intra-corporate disclosures are not unauthorized disclosures under the Act. In </w:t>
      </w:r>
      <w:hyperlink r:id="rId70" w:anchor="co_pp_sp_506_620" w:history="1">
        <w:proofErr w:type="spellStart"/>
        <w:r w:rsidR="004B3836">
          <w:rPr>
            <w:rFonts w:ascii="Times New Roman" w:hAnsi="Times New Roman" w:cs="Times New Roman"/>
            <w:i/>
            <w:iCs/>
            <w:color w:val="0000FF"/>
            <w:sz w:val="20"/>
            <w:szCs w:val="20"/>
          </w:rPr>
          <w:t>Sterk</w:t>
        </w:r>
        <w:proofErr w:type="spellEnd"/>
        <w:r w:rsidR="004B3836">
          <w:rPr>
            <w:rFonts w:ascii="Times New Roman" w:hAnsi="Times New Roman" w:cs="Times New Roman"/>
            <w:i/>
            <w:iCs/>
            <w:color w:val="0000FF"/>
            <w:sz w:val="20"/>
            <w:szCs w:val="20"/>
          </w:rPr>
          <w:t xml:space="preserve"> II,</w:t>
        </w:r>
        <w:r w:rsidR="004B3836">
          <w:rPr>
            <w:rFonts w:ascii="Times New Roman" w:hAnsi="Times New Roman" w:cs="Times New Roman"/>
            <w:color w:val="0000FF"/>
            <w:sz w:val="20"/>
            <w:szCs w:val="20"/>
          </w:rPr>
          <w:t xml:space="preserve"> Redbox provided Stream Global Services a database containing the personal information of Redbox customers to enable Stream Global to service customers on behalf of Redbox. </w:t>
        </w:r>
        <w:r w:rsidR="004B3836">
          <w:rPr>
            <w:rFonts w:ascii="Times New Roman" w:hAnsi="Times New Roman" w:cs="Times New Roman"/>
            <w:i/>
            <w:iCs/>
            <w:color w:val="0000FF"/>
            <w:sz w:val="20"/>
            <w:szCs w:val="20"/>
          </w:rPr>
          <w:t>See</w:t>
        </w:r>
        <w:r w:rsidR="004B3836">
          <w:rPr>
            <w:rFonts w:ascii="Times New Roman" w:hAnsi="Times New Roman" w:cs="Times New Roman"/>
            <w:color w:val="0000FF"/>
            <w:sz w:val="20"/>
            <w:szCs w:val="20"/>
          </w:rPr>
          <w:t xml:space="preserve"> </w:t>
        </w:r>
        <w:proofErr w:type="gramStart"/>
        <w:r w:rsidR="004B3836">
          <w:rPr>
            <w:rFonts w:ascii="Times New Roman" w:hAnsi="Times New Roman" w:cs="Times New Roman"/>
            <w:color w:val="0000FF"/>
            <w:sz w:val="20"/>
            <w:szCs w:val="20"/>
          </w:rPr>
          <w:t>770 F.3d</w:t>
        </w:r>
        <w:proofErr w:type="gramEnd"/>
        <w:r w:rsidR="004B3836">
          <w:rPr>
            <w:rFonts w:ascii="Times New Roman" w:hAnsi="Times New Roman" w:cs="Times New Roman"/>
            <w:color w:val="0000FF"/>
            <w:sz w:val="20"/>
            <w:szCs w:val="20"/>
          </w:rPr>
          <w:t xml:space="preserve"> at 620–21</w:t>
        </w:r>
      </w:hyperlink>
      <w:r w:rsidR="004B3836">
        <w:rPr>
          <w:rFonts w:ascii="Times New Roman" w:hAnsi="Times New Roman" w:cs="Times New Roman"/>
          <w:color w:val="000000"/>
          <w:sz w:val="20"/>
          <w:szCs w:val="20"/>
        </w:rPr>
        <w:t xml:space="preserve">. The Seventh Circuit concluded that Redbox’s “wholesale disclosure of information pertaining to all customers” did not contravene the Act because the disclosures were intended to support Redbox’s services. </w:t>
      </w:r>
      <w:hyperlink r:id="rId71" w:anchor="co_pp_sp_506_627" w:history="1">
        <w:proofErr w:type="gramStart"/>
        <w:r w:rsidR="004B3836">
          <w:rPr>
            <w:rFonts w:ascii="Times New Roman" w:hAnsi="Times New Roman" w:cs="Times New Roman"/>
            <w:i/>
            <w:iCs/>
            <w:color w:val="0000FF"/>
            <w:sz w:val="20"/>
            <w:szCs w:val="20"/>
          </w:rPr>
          <w:t>Id.</w:t>
        </w:r>
        <w:r w:rsidR="004B3836">
          <w:rPr>
            <w:rFonts w:ascii="Times New Roman" w:hAnsi="Times New Roman" w:cs="Times New Roman"/>
            <w:color w:val="0000FF"/>
            <w:sz w:val="20"/>
            <w:szCs w:val="20"/>
          </w:rPr>
          <w:t xml:space="preserve"> at 627</w:t>
        </w:r>
      </w:hyperlink>
      <w:r w:rsidR="004B3836">
        <w:rPr>
          <w:rFonts w:ascii="Times New Roman" w:hAnsi="Times New Roman" w:cs="Times New Roman"/>
          <w:color w:val="000000"/>
          <w:sz w:val="20"/>
          <w:szCs w:val="20"/>
        </w:rPr>
        <w:t>.</w:t>
      </w:r>
      <w:proofErr w:type="gramEnd"/>
      <w:r w:rsidR="004B3836">
        <w:rPr>
          <w:rFonts w:ascii="Times New Roman" w:hAnsi="Times New Roman" w:cs="Times New Roman"/>
          <w:color w:val="000000"/>
          <w:sz w:val="20"/>
          <w:szCs w:val="20"/>
        </w:rPr>
        <w:t xml:space="preserve"> As the Seventh Circuit cogently observed, the Senate Report reflects Congress’ awareness of the unremarkable fact that no business is an island and that video tape services providers, like many other businesses, “may use third parties in their business operations....” </w:t>
      </w:r>
      <w:hyperlink r:id="rId72" w:anchor="co_pp_sp_506_624" w:history="1">
        <w:r w:rsidR="004B3836">
          <w:rPr>
            <w:rFonts w:ascii="Times New Roman" w:hAnsi="Times New Roman" w:cs="Times New Roman"/>
            <w:i/>
            <w:iCs/>
            <w:color w:val="0000FF"/>
            <w:sz w:val="20"/>
            <w:szCs w:val="20"/>
          </w:rPr>
          <w:t>Id.</w:t>
        </w:r>
        <w:r w:rsidR="004B3836">
          <w:rPr>
            <w:rFonts w:ascii="Times New Roman" w:hAnsi="Times New Roman" w:cs="Times New Roman"/>
            <w:color w:val="0000FF"/>
            <w:sz w:val="20"/>
            <w:szCs w:val="20"/>
          </w:rPr>
          <w:t xml:space="preserve"> at 624</w:t>
        </w:r>
      </w:hyperlink>
      <w:r w:rsidR="004B3836">
        <w:rPr>
          <w:rFonts w:ascii="Times New Roman" w:hAnsi="Times New Roman" w:cs="Times New Roman"/>
          <w:color w:val="000000"/>
          <w:sz w:val="20"/>
          <w:szCs w:val="20"/>
        </w:rPr>
        <w:t xml:space="preserve"> (quoting Senate Report No. 100599 at 14). The functions performed by these third parties fall within the definition of “order fulfillment” or “request processing.” </w:t>
      </w:r>
      <w:proofErr w:type="gramStart"/>
      <w:r w:rsidR="004B3836">
        <w:rPr>
          <w:rFonts w:ascii="Times New Roman" w:hAnsi="Times New Roman" w:cs="Times New Roman"/>
          <w:i/>
          <w:iCs/>
          <w:color w:val="000000"/>
          <w:sz w:val="20"/>
          <w:szCs w:val="20"/>
        </w:rPr>
        <w:t>Id.</w:t>
      </w:r>
      <w:r w:rsidR="004B3836">
        <w:rPr>
          <w:rFonts w:ascii="Times New Roman" w:hAnsi="Times New Roman" w:cs="Times New Roman"/>
          <w:color w:val="000000"/>
          <w:sz w:val="20"/>
          <w:szCs w:val="20"/>
        </w:rPr>
        <w:t xml:space="preserve"> (quoting </w:t>
      </w:r>
      <w:hyperlink r:id="rId73" w:history="1">
        <w:proofErr w:type="spellStart"/>
        <w:r w:rsidR="004B3836">
          <w:rPr>
            <w:rFonts w:ascii="Times New Roman" w:hAnsi="Times New Roman" w:cs="Times New Roman"/>
            <w:color w:val="0000FF"/>
            <w:sz w:val="20"/>
            <w:szCs w:val="20"/>
          </w:rPr>
          <w:t>S.Rep</w:t>
        </w:r>
        <w:proofErr w:type="spellEnd"/>
        <w:r w:rsidR="004B3836">
          <w:rPr>
            <w:rFonts w:ascii="Times New Roman" w:hAnsi="Times New Roman" w:cs="Times New Roman"/>
            <w:color w:val="0000FF"/>
            <w:sz w:val="20"/>
            <w:szCs w:val="20"/>
          </w:rPr>
          <w:t>.</w:t>
        </w:r>
        <w:proofErr w:type="gramEnd"/>
        <w:r w:rsidR="004B3836">
          <w:rPr>
            <w:rFonts w:ascii="Times New Roman" w:hAnsi="Times New Roman" w:cs="Times New Roman"/>
            <w:color w:val="0000FF"/>
            <w:sz w:val="20"/>
            <w:szCs w:val="20"/>
          </w:rPr>
          <w:t xml:space="preserve"> </w:t>
        </w:r>
        <w:proofErr w:type="gramStart"/>
        <w:r w:rsidR="004B3836">
          <w:rPr>
            <w:rFonts w:ascii="Times New Roman" w:hAnsi="Times New Roman" w:cs="Times New Roman"/>
            <w:color w:val="0000FF"/>
            <w:sz w:val="20"/>
            <w:szCs w:val="20"/>
          </w:rPr>
          <w:t>No. 100–599 at 14</w:t>
        </w:r>
      </w:hyperlink>
      <w:r w:rsidR="004B3836">
        <w:rPr>
          <w:rFonts w:ascii="Times New Roman" w:hAnsi="Times New Roman" w:cs="Times New Roman"/>
          <w:color w:val="000000"/>
          <w:sz w:val="20"/>
          <w:szCs w:val="20"/>
        </w:rPr>
        <w:t>).</w:t>
      </w:r>
      <w:proofErr w:type="gramEnd"/>
      <w:r w:rsidR="004B3836">
        <w:rPr>
          <w:rFonts w:ascii="Times New Roman" w:hAnsi="Times New Roman" w:cs="Times New Roman"/>
          <w:color w:val="000000"/>
          <w:sz w:val="20"/>
          <w:szCs w:val="20"/>
        </w:rPr>
        <w:t xml:space="preserve"> Thus, even if the district court accepted the contradictory allegations of the Second Amended Complaint as true, the outcome for </w:t>
      </w:r>
      <w:r w:rsidR="004B3836">
        <w:rPr>
          <w:rFonts w:ascii="Times New Roman" w:hAnsi="Times New Roman" w:cs="Times New Roman"/>
          <w:color w:val="000000"/>
          <w:sz w:val="20"/>
          <w:szCs w:val="20"/>
        </w:rPr>
        <w:lastRenderedPageBreak/>
        <w:t xml:space="preserve">Rodriguez would not change. The reason is simple—if Sony Network assumed management of the </w:t>
      </w:r>
      <w:proofErr w:type="spellStart"/>
      <w:r w:rsidR="004B3836">
        <w:rPr>
          <w:rFonts w:ascii="Times New Roman" w:hAnsi="Times New Roman" w:cs="Times New Roman"/>
          <w:color w:val="000000"/>
          <w:sz w:val="20"/>
          <w:szCs w:val="20"/>
        </w:rPr>
        <w:t>Playstation</w:t>
      </w:r>
      <w:proofErr w:type="spellEnd"/>
      <w:r w:rsidR="004B3836">
        <w:rPr>
          <w:rFonts w:ascii="Times New Roman" w:hAnsi="Times New Roman" w:cs="Times New Roman"/>
          <w:color w:val="000000"/>
          <w:sz w:val="20"/>
          <w:szCs w:val="20"/>
        </w:rPr>
        <w:t xml:space="preserve"> Network on behalf of Sony Computer, that service would fall comfortably within the “order fulfillment” or “request processing” exemptions set forth in </w:t>
      </w:r>
      <w:hyperlink r:id="rId74" w:anchor="co_pp_d86d0000be040" w:history="1">
        <w:r w:rsidR="004B3836">
          <w:rPr>
            <w:rFonts w:ascii="Times New Roman" w:hAnsi="Times New Roman" w:cs="Times New Roman"/>
            <w:color w:val="0000FF"/>
            <w:sz w:val="20"/>
            <w:szCs w:val="20"/>
          </w:rPr>
          <w:t>§ 2710(a)(2)</w:t>
        </w:r>
      </w:hyperlink>
      <w:r w:rsidR="004B3836">
        <w:rPr>
          <w:rFonts w:ascii="Times New Roman" w:hAnsi="Times New Roman" w:cs="Times New Roman"/>
          <w:color w:val="000000"/>
          <w:sz w:val="20"/>
          <w:szCs w:val="20"/>
        </w:rPr>
        <w:t xml:space="preserve">, </w:t>
      </w:r>
      <w:hyperlink r:id="rId75" w:anchor="co_pp_f7fb0000553d1" w:history="1">
        <w:r w:rsidR="004B3836">
          <w:rPr>
            <w:rFonts w:ascii="Times New Roman" w:hAnsi="Times New Roman" w:cs="Times New Roman"/>
            <w:color w:val="0000FF"/>
            <w:sz w:val="20"/>
            <w:szCs w:val="20"/>
          </w:rPr>
          <w:t>(b)(2)(E)</w:t>
        </w:r>
      </w:hyperlink>
      <w:r w:rsidR="004B3836">
        <w:rPr>
          <w:rFonts w:ascii="Times New Roman" w:hAnsi="Times New Roman" w:cs="Times New Roman"/>
          <w:color w:val="000000"/>
          <w:sz w:val="20"/>
          <w:szCs w:val="20"/>
        </w:rPr>
        <w:t>. Either way, Rodriguez loses.</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7D5238" w:rsidRDefault="007D5238">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35" w:name="co_anchor_If5e618ea75ac11e598dc8b09b4f04"/>
      <w:bookmarkEnd w:id="35"/>
    </w:p>
    <w:p w:rsidR="007D5238" w:rsidRDefault="004B3836">
      <w:pPr>
        <w:widowControl w:val="0"/>
        <w:autoSpaceDE w:val="0"/>
        <w:autoSpaceDN w:val="0"/>
        <w:adjustRightInd w:val="0"/>
        <w:spacing w:before="200" w:after="0" w:line="240" w:lineRule="auto"/>
        <w:rPr>
          <w:rFonts w:ascii="Times New Roman" w:hAnsi="Times New Roman" w:cs="Times New Roman"/>
          <w:b/>
          <w:bCs/>
          <w:i/>
          <w:iCs/>
          <w:color w:val="000000"/>
          <w:sz w:val="20"/>
          <w:szCs w:val="20"/>
        </w:rPr>
      </w:pPr>
      <w:r>
        <w:rPr>
          <w:rFonts w:ascii="Times New Roman" w:hAnsi="Times New Roman" w:cs="Times New Roman"/>
          <w:b/>
          <w:bCs/>
          <w:color w:val="000000"/>
          <w:sz w:val="20"/>
          <w:szCs w:val="20"/>
        </w:rPr>
        <w:t xml:space="preserve">IV. </w:t>
      </w:r>
      <w:r>
        <w:rPr>
          <w:rFonts w:ascii="Times New Roman" w:hAnsi="Times New Roman" w:cs="Times New Roman"/>
          <w:b/>
          <w:bCs/>
          <w:i/>
          <w:iCs/>
          <w:color w:val="000000"/>
          <w:sz w:val="20"/>
          <w:szCs w:val="20"/>
        </w:rPr>
        <w:t>CONCLUSION</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bookmarkStart w:id="36" w:name="co_pp_sp_999_9_1"/>
      <w:bookmarkEnd w:id="36"/>
      <w:r>
        <w:rPr>
          <w:rFonts w:ascii="Times New Roman" w:hAnsi="Times New Roman" w:cs="Times New Roman"/>
          <w:b/>
          <w:bCs/>
          <w:color w:val="000000"/>
          <w:sz w:val="20"/>
          <w:szCs w:val="20"/>
        </w:rPr>
        <w:t>*9</w:t>
      </w:r>
      <w:r>
        <w:rPr>
          <w:rFonts w:ascii="Times New Roman" w:hAnsi="Times New Roman" w:cs="Times New Roman"/>
          <w:color w:val="000000"/>
          <w:sz w:val="20"/>
          <w:szCs w:val="20"/>
        </w:rPr>
        <w:t xml:space="preserve"> </w:t>
      </w:r>
      <w:hyperlink w:anchor="co_anchor_F92037077884_1" w:history="1">
        <w:r>
          <w:rPr>
            <w:rFonts w:ascii="Times New Roman" w:hAnsi="Times New Roman" w:cs="Times New Roman"/>
            <w:b/>
            <w:bCs/>
            <w:color w:val="252525"/>
            <w:sz w:val="20"/>
            <w:szCs w:val="20"/>
            <w:vertAlign w:val="superscript"/>
          </w:rPr>
          <w:t>[9]</w:t>
        </w:r>
      </w:hyperlink>
      <w:bookmarkStart w:id="37" w:name="co_anchor_B92037077884_1"/>
      <w:bookmarkEnd w:id="37"/>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The</w:t>
      </w:r>
      <w:proofErr w:type="gramEnd"/>
      <w:r>
        <w:rPr>
          <w:rFonts w:ascii="Times New Roman" w:hAnsi="Times New Roman" w:cs="Times New Roman"/>
          <w:color w:val="000000"/>
          <w:sz w:val="20"/>
          <w:szCs w:val="20"/>
        </w:rPr>
        <w:t xml:space="preserve"> district court properly dismissed Rodriguez’s unlawful retention claim. We join the Sixth and Seventh Circuits in holding that the Act does not provide a private right of action for the retention of a consumer’s personal information beyond the time limitations established in </w:t>
      </w:r>
      <w:hyperlink r:id="rId76" w:anchor="co_pp_7fdd00001ca15" w:history="1">
        <w:r>
          <w:rPr>
            <w:rFonts w:ascii="Times New Roman" w:hAnsi="Times New Roman" w:cs="Times New Roman"/>
            <w:color w:val="0000FF"/>
            <w:sz w:val="20"/>
            <w:szCs w:val="20"/>
          </w:rPr>
          <w:t>18 U.S.C. § 2710(e)</w:t>
        </w:r>
      </w:hyperlink>
      <w:r>
        <w:rPr>
          <w:rFonts w:ascii="Times New Roman" w:hAnsi="Times New Roman" w:cs="Times New Roman"/>
          <w:color w:val="000000"/>
          <w:sz w:val="20"/>
          <w:szCs w:val="20"/>
        </w:rPr>
        <w:t xml:space="preserve">. The Act’s legislative history and the language and structure of </w:t>
      </w:r>
      <w:hyperlink r:id="rId77" w:history="1">
        <w:r>
          <w:rPr>
            <w:rFonts w:ascii="Times New Roman" w:hAnsi="Times New Roman" w:cs="Times New Roman"/>
            <w:color w:val="0000FF"/>
            <w:sz w:val="20"/>
            <w:szCs w:val="20"/>
          </w:rPr>
          <w:t>18 U.S.C. § 2710</w:t>
        </w:r>
      </w:hyperlink>
      <w:r>
        <w:rPr>
          <w:rFonts w:ascii="Times New Roman" w:hAnsi="Times New Roman" w:cs="Times New Roman"/>
          <w:color w:val="000000"/>
          <w:sz w:val="20"/>
          <w:szCs w:val="20"/>
        </w:rPr>
        <w:t xml:space="preserve"> reflect that Congress limited any civil remedies to the unlawful disclosure of a consumer’s personal information.</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The district court also properly dismissed Rodriguez’s unlawful disclosure claim. Rodriguez failed to sufficiently allege that intra-corporate disclosures of consumers’ personal information between Sony entities to sustain the operations of the PlayStation Network violated the Act.</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7D5238" w:rsidRDefault="004B3836">
      <w:pPr>
        <w:widowControl w:val="0"/>
        <w:autoSpaceDE w:val="0"/>
        <w:autoSpaceDN w:val="0"/>
        <w:adjustRightInd w:val="0"/>
        <w:spacing w:after="0" w:line="240" w:lineRule="auto"/>
        <w:jc w:val="both"/>
        <w:rPr>
          <w:rFonts w:ascii="Times New Roman" w:hAnsi="Times New Roman" w:cs="Times New Roman"/>
          <w:b/>
          <w:bCs/>
          <w:color w:val="000000"/>
          <w:sz w:val="20"/>
          <w:szCs w:val="20"/>
        </w:rPr>
      </w:pPr>
      <w:proofErr w:type="gramStart"/>
      <w:r>
        <w:rPr>
          <w:rFonts w:ascii="Times New Roman" w:hAnsi="Times New Roman" w:cs="Times New Roman"/>
          <w:b/>
          <w:bCs/>
          <w:color w:val="000000"/>
          <w:sz w:val="20"/>
          <w:szCs w:val="20"/>
        </w:rPr>
        <w:t>AFFIRMED.</w:t>
      </w:r>
      <w:proofErr w:type="gramEnd"/>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w:t>
      </w:r>
    </w:p>
    <w:p w:rsidR="007D5238" w:rsidRDefault="004B3836">
      <w:pPr>
        <w:widowControl w:val="0"/>
        <w:autoSpaceDE w:val="0"/>
        <w:autoSpaceDN w:val="0"/>
        <w:adjustRightInd w:val="0"/>
        <w:spacing w:before="600" w:line="240" w:lineRule="auto"/>
        <w:jc w:val="both"/>
        <w:rPr>
          <w:rFonts w:ascii="Times New Roman" w:hAnsi="Times New Roman" w:cs="Times New Roman"/>
          <w:b/>
          <w:bCs/>
          <w:color w:val="252525"/>
          <w:sz w:val="20"/>
          <w:szCs w:val="20"/>
        </w:rPr>
      </w:pPr>
      <w:bookmarkStart w:id="38" w:name="co_allCitations_1"/>
      <w:bookmarkEnd w:id="38"/>
      <w:r>
        <w:rPr>
          <w:rFonts w:ascii="Times New Roman" w:hAnsi="Times New Roman" w:cs="Times New Roman"/>
          <w:b/>
          <w:bCs/>
          <w:color w:val="252525"/>
          <w:sz w:val="20"/>
          <w:szCs w:val="20"/>
        </w:rPr>
        <w:t>All Citations</w:t>
      </w:r>
    </w:p>
    <w:p w:rsidR="007D5238" w:rsidRDefault="004B3836">
      <w:pPr>
        <w:widowControl w:val="0"/>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F.3d ----, 2015 WL 5166788, 15 Cal. Daily Op. Serv. 10,045, 2015 Daily Journal D.A.R. 10,318</w:t>
      </w:r>
    </w:p>
    <w:p w:rsidR="007D5238" w:rsidRDefault="007D5238">
      <w:pPr>
        <w:widowControl w:val="0"/>
        <w:autoSpaceDE w:val="0"/>
        <w:autoSpaceDN w:val="0"/>
        <w:adjustRightInd w:val="0"/>
        <w:spacing w:after="0" w:line="240" w:lineRule="auto"/>
        <w:rPr>
          <w:rFonts w:ascii="sans-serif" w:hAnsi="sans-serif" w:cs="sans-serif"/>
          <w:color w:val="000000"/>
          <w:sz w:val="24"/>
          <w:szCs w:val="24"/>
        </w:rPr>
      </w:pPr>
    </w:p>
    <w:p w:rsidR="007D5238" w:rsidRDefault="007D5238">
      <w:pPr>
        <w:widowControl w:val="0"/>
        <w:autoSpaceDE w:val="0"/>
        <w:autoSpaceDN w:val="0"/>
        <w:adjustRightInd w:val="0"/>
        <w:spacing w:after="0" w:line="240" w:lineRule="auto"/>
        <w:rPr>
          <w:rFonts w:ascii="Arial" w:hAnsi="Arial" w:cs="Arial"/>
          <w:sz w:val="24"/>
          <w:szCs w:val="24"/>
        </w:rPr>
        <w:sectPr w:rsidR="007D5238">
          <w:type w:val="continuous"/>
          <w:pgSz w:w="12240" w:h="15840"/>
          <w:pgMar w:top="1080" w:right="1080" w:bottom="1080" w:left="1080" w:header="720" w:footer="720" w:gutter="0"/>
          <w:cols w:num="2" w:space="720"/>
          <w:noEndnote/>
        </w:sectPr>
      </w:pPr>
    </w:p>
    <w:tbl>
      <w:tblPr>
        <w:tblW w:w="0" w:type="auto"/>
        <w:tblLayout w:type="fixed"/>
        <w:tblCellMar>
          <w:left w:w="0" w:type="dxa"/>
          <w:right w:w="0" w:type="dxa"/>
        </w:tblCellMar>
        <w:tblLook w:val="0000" w:firstRow="0" w:lastRow="0" w:firstColumn="0" w:lastColumn="0" w:noHBand="0" w:noVBand="0"/>
      </w:tblPr>
      <w:tblGrid>
        <w:gridCol w:w="600"/>
        <w:gridCol w:w="9480"/>
      </w:tblGrid>
      <w:tr w:rsidR="007D5238">
        <w:tc>
          <w:tcPr>
            <w:tcW w:w="10080" w:type="dxa"/>
            <w:gridSpan w:val="2"/>
            <w:tcBorders>
              <w:top w:val="nil"/>
              <w:left w:val="nil"/>
              <w:bottom w:val="nil"/>
              <w:right w:val="nil"/>
            </w:tcBorders>
            <w:tcMar>
              <w:top w:w="200" w:type="dxa"/>
            </w:tcMar>
          </w:tcPr>
          <w:p w:rsidR="007D5238" w:rsidRDefault="004B3836">
            <w:pPr>
              <w:widowControl w:val="0"/>
              <w:autoSpaceDE w:val="0"/>
              <w:autoSpaceDN w:val="0"/>
              <w:adjustRightInd w:val="0"/>
              <w:spacing w:after="0" w:line="240" w:lineRule="auto"/>
              <w:rPr>
                <w:rFonts w:ascii="sans-serif" w:hAnsi="sans-serif" w:cs="sans-serif"/>
                <w:color w:val="000000"/>
                <w:sz w:val="20"/>
                <w:szCs w:val="20"/>
              </w:rPr>
            </w:pPr>
            <w:r>
              <w:rPr>
                <w:rFonts w:ascii="sans-serif" w:hAnsi="sans-serif" w:cs="sans-serif"/>
                <w:color w:val="000000"/>
                <w:sz w:val="20"/>
                <w:szCs w:val="20"/>
              </w:rPr>
              <w:lastRenderedPageBreak/>
              <w:t>Footnotes</w:t>
            </w:r>
          </w:p>
          <w:p w:rsidR="007D5238" w:rsidRDefault="007D5238">
            <w:pPr>
              <w:widowControl w:val="0"/>
              <w:autoSpaceDE w:val="0"/>
              <w:autoSpaceDN w:val="0"/>
              <w:adjustRightInd w:val="0"/>
              <w:spacing w:after="0" w:line="240" w:lineRule="auto"/>
              <w:rPr>
                <w:rFonts w:ascii="sans-serif" w:hAnsi="sans-serif" w:cs="sans-serif"/>
                <w:color w:val="000000"/>
                <w:sz w:val="20"/>
                <w:szCs w:val="20"/>
              </w:rPr>
            </w:pPr>
          </w:p>
        </w:tc>
      </w:tr>
      <w:bookmarkStart w:id="39" w:name="co_footnote_B0012037077884_1"/>
      <w:bookmarkEnd w:id="39"/>
      <w:tr w:rsidR="007D5238">
        <w:tc>
          <w:tcPr>
            <w:tcW w:w="600" w:type="dxa"/>
            <w:tcBorders>
              <w:top w:val="nil"/>
              <w:left w:val="nil"/>
              <w:bottom w:val="nil"/>
              <w:right w:val="nil"/>
            </w:tcBorders>
          </w:tcPr>
          <w:p w:rsidR="007D5238" w:rsidRDefault="004B3836">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"#co_footnoteReference_B0012037077884_ID0E" </w:instrText>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w:t>
            </w:r>
            <w:r>
              <w:rPr>
                <w:rFonts w:ascii="sans-serif" w:hAnsi="sans-serif" w:cs="sans-serif"/>
                <w:color w:val="000000"/>
                <w:sz w:val="24"/>
                <w:szCs w:val="24"/>
              </w:rPr>
              <w:fldChar w:fldCharType="end"/>
            </w:r>
          </w:p>
          <w:p w:rsidR="007D5238" w:rsidRDefault="007D5238">
            <w:pPr>
              <w:widowControl w:val="0"/>
              <w:autoSpaceDE w:val="0"/>
              <w:autoSpaceDN w:val="0"/>
              <w:adjustRightInd w:val="0"/>
              <w:spacing w:after="0" w:line="240" w:lineRule="auto"/>
              <w:rPr>
                <w:rFonts w:ascii="sans-serif" w:hAnsi="sans-serif" w:cs="sans-serif"/>
                <w:color w:val="000000"/>
                <w:sz w:val="24"/>
                <w:szCs w:val="24"/>
              </w:rPr>
            </w:pPr>
          </w:p>
        </w:tc>
        <w:tc>
          <w:tcPr>
            <w:tcW w:w="9480" w:type="dxa"/>
            <w:tcBorders>
              <w:top w:val="nil"/>
              <w:left w:val="nil"/>
              <w:bottom w:val="nil"/>
              <w:right w:val="nil"/>
            </w:tcBorders>
          </w:tcPr>
          <w:p w:rsidR="007D5238" w:rsidRDefault="004B3836">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The Honorable Raymond J. Dearie, Senior District Judge for the U.S. District Court for the Eastern District of New York, sitting by designation.</w:t>
            </w:r>
          </w:p>
          <w:p w:rsidR="007D5238" w:rsidRDefault="007D5238">
            <w:pPr>
              <w:widowControl w:val="0"/>
              <w:autoSpaceDE w:val="0"/>
              <w:autoSpaceDN w:val="0"/>
              <w:adjustRightInd w:val="0"/>
              <w:spacing w:after="0" w:line="240" w:lineRule="auto"/>
              <w:jc w:val="both"/>
              <w:rPr>
                <w:rFonts w:ascii="sans-serif" w:hAnsi="sans-serif" w:cs="sans-serif"/>
                <w:color w:val="000000"/>
                <w:sz w:val="18"/>
                <w:szCs w:val="18"/>
              </w:rPr>
            </w:pPr>
          </w:p>
        </w:tc>
      </w:tr>
      <w:bookmarkStart w:id="40" w:name="co_footnote_B00212037077884_1"/>
      <w:bookmarkEnd w:id="40"/>
      <w:tr w:rsidR="007D5238">
        <w:tc>
          <w:tcPr>
            <w:tcW w:w="600" w:type="dxa"/>
            <w:tcBorders>
              <w:top w:val="nil"/>
              <w:left w:val="nil"/>
              <w:bottom w:val="nil"/>
              <w:right w:val="nil"/>
            </w:tcBorders>
          </w:tcPr>
          <w:p w:rsidR="007D5238" w:rsidRDefault="004B3836">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"#co_footnoteReference_B00212037077884_ID0" </w:instrText>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1</w:t>
            </w:r>
            <w:r>
              <w:rPr>
                <w:rFonts w:ascii="sans-serif" w:hAnsi="sans-serif" w:cs="sans-serif"/>
                <w:color w:val="000000"/>
                <w:sz w:val="24"/>
                <w:szCs w:val="24"/>
              </w:rPr>
              <w:fldChar w:fldCharType="end"/>
            </w:r>
          </w:p>
          <w:p w:rsidR="007D5238" w:rsidRDefault="007D5238">
            <w:pPr>
              <w:widowControl w:val="0"/>
              <w:autoSpaceDE w:val="0"/>
              <w:autoSpaceDN w:val="0"/>
              <w:adjustRightInd w:val="0"/>
              <w:spacing w:after="0" w:line="240" w:lineRule="auto"/>
              <w:rPr>
                <w:rFonts w:ascii="sans-serif" w:hAnsi="sans-serif" w:cs="sans-serif"/>
                <w:color w:val="000000"/>
                <w:sz w:val="24"/>
                <w:szCs w:val="24"/>
              </w:rPr>
            </w:pPr>
          </w:p>
        </w:tc>
        <w:tc>
          <w:tcPr>
            <w:tcW w:w="9480" w:type="dxa"/>
            <w:tcBorders>
              <w:top w:val="nil"/>
              <w:left w:val="nil"/>
              <w:bottom w:val="nil"/>
              <w:right w:val="nil"/>
            </w:tcBorders>
          </w:tcPr>
          <w:p w:rsidR="007D5238" w:rsidRDefault="004B3836">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 xml:space="preserve">The Act limits any relief to that provided in </w:t>
            </w:r>
            <w:hyperlink r:id="rId78" w:anchor="co_pp_5ba1000067d06" w:history="1">
              <w:r>
                <w:rPr>
                  <w:rFonts w:ascii="sans-serif" w:hAnsi="sans-serif" w:cs="sans-serif"/>
                  <w:color w:val="0000FF"/>
                  <w:sz w:val="18"/>
                  <w:szCs w:val="18"/>
                </w:rPr>
                <w:t>18 U.S.C. § 2710(d)</w:t>
              </w:r>
            </w:hyperlink>
            <w:r>
              <w:rPr>
                <w:rFonts w:ascii="sans-serif" w:hAnsi="sans-serif" w:cs="sans-serif"/>
                <w:color w:val="000000"/>
                <w:sz w:val="18"/>
                <w:szCs w:val="18"/>
              </w:rPr>
              <w:t xml:space="preserve">. </w:t>
            </w:r>
            <w:r>
              <w:rPr>
                <w:rFonts w:ascii="sans-serif" w:hAnsi="sans-serif" w:cs="sans-serif"/>
                <w:i/>
                <w:iCs/>
                <w:color w:val="000000"/>
                <w:sz w:val="18"/>
                <w:szCs w:val="18"/>
              </w:rPr>
              <w:t>See</w:t>
            </w:r>
            <w:r>
              <w:rPr>
                <w:rFonts w:ascii="sans-serif" w:hAnsi="sans-serif" w:cs="sans-serif"/>
                <w:color w:val="000000"/>
                <w:sz w:val="18"/>
                <w:szCs w:val="18"/>
              </w:rPr>
              <w:t xml:space="preserve"> </w:t>
            </w:r>
            <w:hyperlink r:id="rId79" w:anchor="co_pp_a83b000018c76" w:history="1">
              <w:r>
                <w:rPr>
                  <w:rFonts w:ascii="sans-serif" w:hAnsi="sans-serif" w:cs="sans-serif"/>
                  <w:color w:val="0000FF"/>
                  <w:sz w:val="18"/>
                  <w:szCs w:val="18"/>
                </w:rPr>
                <w:t>18 U.S.C. § 2710(b)</w:t>
              </w:r>
            </w:hyperlink>
            <w:r>
              <w:rPr>
                <w:rFonts w:ascii="sans-serif" w:hAnsi="sans-serif" w:cs="sans-serif"/>
                <w:color w:val="000000"/>
                <w:sz w:val="18"/>
                <w:szCs w:val="18"/>
              </w:rPr>
              <w:t xml:space="preserve">. In turn, </w:t>
            </w:r>
            <w:hyperlink r:id="rId80" w:anchor="co_pp_5ba1000067d06" w:history="1">
              <w:r>
                <w:rPr>
                  <w:rFonts w:ascii="sans-serif" w:hAnsi="sans-serif" w:cs="sans-serif"/>
                  <w:color w:val="0000FF"/>
                  <w:sz w:val="18"/>
                  <w:szCs w:val="18"/>
                </w:rPr>
                <w:t>18 U.S.C. § 2710(d)</w:t>
              </w:r>
            </w:hyperlink>
            <w:r>
              <w:rPr>
                <w:rFonts w:ascii="sans-serif" w:hAnsi="sans-serif" w:cs="sans-serif"/>
                <w:color w:val="000000"/>
                <w:sz w:val="18"/>
                <w:szCs w:val="18"/>
              </w:rPr>
              <w:t xml:space="preserve"> provides:</w:t>
            </w:r>
          </w:p>
          <w:p w:rsidR="007D5238" w:rsidRDefault="004B3836">
            <w:pPr>
              <w:widowControl w:val="0"/>
              <w:autoSpaceDE w:val="0"/>
              <w:autoSpaceDN w:val="0"/>
              <w:adjustRightInd w:val="0"/>
              <w:spacing w:after="0" w:line="240" w:lineRule="auto"/>
              <w:ind w:left="360"/>
              <w:jc w:val="both"/>
              <w:rPr>
                <w:rFonts w:ascii="sans-serif" w:hAnsi="sans-serif" w:cs="sans-serif"/>
                <w:color w:val="000000"/>
                <w:sz w:val="18"/>
                <w:szCs w:val="18"/>
              </w:rPr>
            </w:pPr>
            <w:r>
              <w:rPr>
                <w:rFonts w:ascii="sans-serif" w:hAnsi="sans-serif" w:cs="sans-serif"/>
                <w:color w:val="000000"/>
                <w:sz w:val="18"/>
                <w:szCs w:val="18"/>
              </w:rPr>
              <w:t>Personally identifiable information obtained in any manner other than as provided in this section shall not be received in evidence in any trial, hearing, arbitration, or other proceeding in or before any court, grand jury, department, officer, agency, regulatory body, legislative committee, or other authority of the United States, a State, or a political subdivision of a State.</w:t>
            </w:r>
          </w:p>
          <w:p w:rsidR="007D5238" w:rsidRDefault="004B3836">
            <w:pPr>
              <w:widowControl w:val="0"/>
              <w:autoSpaceDE w:val="0"/>
              <w:autoSpaceDN w:val="0"/>
              <w:adjustRightInd w:val="0"/>
              <w:spacing w:after="0" w:line="240" w:lineRule="auto"/>
              <w:ind w:left="180"/>
              <w:jc w:val="both"/>
              <w:rPr>
                <w:rFonts w:ascii="sans-serif" w:hAnsi="sans-serif" w:cs="sans-serif"/>
                <w:color w:val="000000"/>
                <w:sz w:val="18"/>
                <w:szCs w:val="18"/>
              </w:rPr>
            </w:pPr>
            <w:r>
              <w:rPr>
                <w:rFonts w:ascii="sans-serif" w:hAnsi="sans-serif" w:cs="sans-serif"/>
                <w:color w:val="000000"/>
                <w:sz w:val="18"/>
                <w:szCs w:val="18"/>
              </w:rPr>
              <w:t xml:space="preserve">As the Seventh Circuit observed, it appears that </w:t>
            </w:r>
            <w:hyperlink r:id="rId81" w:anchor="co_pp_a83b000018c76" w:history="1">
              <w:r>
                <w:rPr>
                  <w:rFonts w:ascii="sans-serif" w:hAnsi="sans-serif" w:cs="sans-serif"/>
                  <w:color w:val="0000FF"/>
                  <w:sz w:val="18"/>
                  <w:szCs w:val="18"/>
                </w:rPr>
                <w:t>§ 2710(b)</w:t>
              </w:r>
            </w:hyperlink>
            <w:r>
              <w:rPr>
                <w:rFonts w:ascii="sans-serif" w:hAnsi="sans-serif" w:cs="sans-serif"/>
                <w:color w:val="000000"/>
                <w:sz w:val="18"/>
                <w:szCs w:val="18"/>
              </w:rPr>
              <w:t xml:space="preserve"> mistakenly references </w:t>
            </w:r>
            <w:hyperlink r:id="rId82" w:anchor="co_pp_5ba1000067d06" w:history="1">
              <w:r>
                <w:rPr>
                  <w:rFonts w:ascii="sans-serif" w:hAnsi="sans-serif" w:cs="sans-serif"/>
                  <w:color w:val="0000FF"/>
                  <w:sz w:val="18"/>
                  <w:szCs w:val="18"/>
                </w:rPr>
                <w:t>§ 2710(d)</w:t>
              </w:r>
            </w:hyperlink>
            <w:r>
              <w:rPr>
                <w:rFonts w:ascii="sans-serif" w:hAnsi="sans-serif" w:cs="sans-serif"/>
                <w:color w:val="000000"/>
                <w:sz w:val="18"/>
                <w:szCs w:val="18"/>
              </w:rPr>
              <w:t xml:space="preserve"> as a remedies provision. </w:t>
            </w:r>
            <w:r>
              <w:rPr>
                <w:rFonts w:ascii="sans-serif" w:hAnsi="sans-serif" w:cs="sans-serif"/>
                <w:i/>
                <w:iCs/>
                <w:color w:val="000000"/>
                <w:sz w:val="18"/>
                <w:szCs w:val="18"/>
              </w:rPr>
              <w:t xml:space="preserve">See </w:t>
            </w:r>
            <w:hyperlink r:id="rId83" w:anchor="co_pp_sp_506_537" w:history="1">
              <w:proofErr w:type="spellStart"/>
              <w:r>
                <w:rPr>
                  <w:rFonts w:ascii="sans-serif" w:hAnsi="sans-serif" w:cs="sans-serif"/>
                  <w:i/>
                  <w:iCs/>
                  <w:color w:val="0000FF"/>
                  <w:sz w:val="18"/>
                  <w:szCs w:val="18"/>
                </w:rPr>
                <w:t>Sterk</w:t>
              </w:r>
              <w:proofErr w:type="spellEnd"/>
              <w:r>
                <w:rPr>
                  <w:rFonts w:ascii="sans-serif" w:hAnsi="sans-serif" w:cs="sans-serif"/>
                  <w:i/>
                  <w:iCs/>
                  <w:color w:val="0000FF"/>
                  <w:sz w:val="18"/>
                  <w:szCs w:val="18"/>
                </w:rPr>
                <w:t xml:space="preserve"> v. Redbox Automated Retail, LLC,</w:t>
              </w:r>
              <w:r>
                <w:rPr>
                  <w:rFonts w:ascii="sans-serif" w:hAnsi="sans-serif" w:cs="sans-serif"/>
                  <w:color w:val="0000FF"/>
                  <w:sz w:val="18"/>
                  <w:szCs w:val="18"/>
                </w:rPr>
                <w:t xml:space="preserve"> 672 F.3d 535, 537 (7th Cir.2012)</w:t>
              </w:r>
            </w:hyperlink>
            <w:r>
              <w:rPr>
                <w:rFonts w:ascii="sans-serif" w:hAnsi="sans-serif" w:cs="sans-serif"/>
                <w:color w:val="000000"/>
                <w:sz w:val="18"/>
                <w:szCs w:val="18"/>
              </w:rPr>
              <w:t xml:space="preserve"> (</w:t>
            </w:r>
            <w:proofErr w:type="spellStart"/>
            <w:r>
              <w:rPr>
                <w:rFonts w:ascii="sans-serif" w:hAnsi="sans-serif" w:cs="sans-serif"/>
                <w:i/>
                <w:iCs/>
                <w:color w:val="000000"/>
                <w:sz w:val="18"/>
                <w:szCs w:val="18"/>
              </w:rPr>
              <w:t>Sterk</w:t>
            </w:r>
            <w:proofErr w:type="spellEnd"/>
            <w:r>
              <w:rPr>
                <w:rFonts w:ascii="sans-serif" w:hAnsi="sans-serif" w:cs="sans-serif"/>
                <w:i/>
                <w:iCs/>
                <w:color w:val="000000"/>
                <w:sz w:val="18"/>
                <w:szCs w:val="18"/>
              </w:rPr>
              <w:t xml:space="preserve"> I</w:t>
            </w:r>
            <w:r>
              <w:rPr>
                <w:rFonts w:ascii="sans-serif" w:hAnsi="sans-serif" w:cs="sans-serif"/>
                <w:color w:val="000000"/>
                <w:sz w:val="18"/>
                <w:szCs w:val="18"/>
              </w:rPr>
              <w:t xml:space="preserve"> ) (observing that “[t]he statute says (d), but this must be an error, not only because the only ‘relief’ provided there is exclusion of the personally identifiable information from evidence, but also because it is very unlikely that a video tape service provider would ever be submitting, as evidence in a legal proceeding, personally identifiable information that the provider had disclosed”).</w:t>
            </w:r>
          </w:p>
          <w:p w:rsidR="007D5238" w:rsidRDefault="007D5238">
            <w:pPr>
              <w:widowControl w:val="0"/>
              <w:autoSpaceDE w:val="0"/>
              <w:autoSpaceDN w:val="0"/>
              <w:adjustRightInd w:val="0"/>
              <w:spacing w:after="0" w:line="240" w:lineRule="auto"/>
              <w:ind w:left="180"/>
              <w:jc w:val="both"/>
              <w:rPr>
                <w:rFonts w:ascii="sans-serif" w:hAnsi="sans-serif" w:cs="sans-serif"/>
                <w:color w:val="000000"/>
                <w:sz w:val="18"/>
                <w:szCs w:val="18"/>
              </w:rPr>
            </w:pPr>
          </w:p>
        </w:tc>
      </w:tr>
      <w:bookmarkStart w:id="41" w:name="co_footnote_B00322037077884_1"/>
      <w:bookmarkEnd w:id="41"/>
      <w:tr w:rsidR="007D5238">
        <w:tc>
          <w:tcPr>
            <w:tcW w:w="600" w:type="dxa"/>
            <w:tcBorders>
              <w:top w:val="nil"/>
              <w:left w:val="nil"/>
              <w:bottom w:val="nil"/>
              <w:right w:val="nil"/>
            </w:tcBorders>
          </w:tcPr>
          <w:p w:rsidR="007D5238" w:rsidRDefault="004B3836">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"#co_footnoteReference_B00322037077884_ID0" </w:instrText>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2</w:t>
            </w:r>
            <w:r>
              <w:rPr>
                <w:rFonts w:ascii="sans-serif" w:hAnsi="sans-serif" w:cs="sans-serif"/>
                <w:color w:val="000000"/>
                <w:sz w:val="24"/>
                <w:szCs w:val="24"/>
              </w:rPr>
              <w:fldChar w:fldCharType="end"/>
            </w:r>
          </w:p>
          <w:p w:rsidR="007D5238" w:rsidRDefault="007D5238">
            <w:pPr>
              <w:widowControl w:val="0"/>
              <w:autoSpaceDE w:val="0"/>
              <w:autoSpaceDN w:val="0"/>
              <w:adjustRightInd w:val="0"/>
              <w:spacing w:after="0" w:line="240" w:lineRule="auto"/>
              <w:rPr>
                <w:rFonts w:ascii="sans-serif" w:hAnsi="sans-serif" w:cs="sans-serif"/>
                <w:color w:val="000000"/>
                <w:sz w:val="24"/>
                <w:szCs w:val="24"/>
              </w:rPr>
            </w:pPr>
          </w:p>
        </w:tc>
        <w:tc>
          <w:tcPr>
            <w:tcW w:w="9480" w:type="dxa"/>
            <w:tcBorders>
              <w:top w:val="nil"/>
              <w:left w:val="nil"/>
              <w:bottom w:val="nil"/>
              <w:right w:val="nil"/>
            </w:tcBorders>
          </w:tcPr>
          <w:p w:rsidR="007D5238" w:rsidRDefault="004B3836">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 xml:space="preserve">The Seventh Circuit’s decision in </w:t>
            </w:r>
            <w:hyperlink r:id="rId84" w:history="1">
              <w:proofErr w:type="spellStart"/>
              <w:r>
                <w:rPr>
                  <w:rFonts w:ascii="sans-serif" w:hAnsi="sans-serif" w:cs="sans-serif"/>
                  <w:i/>
                  <w:iCs/>
                  <w:color w:val="0000FF"/>
                  <w:sz w:val="18"/>
                  <w:szCs w:val="18"/>
                </w:rPr>
                <w:t>Graczyk</w:t>
              </w:r>
              <w:proofErr w:type="spellEnd"/>
              <w:r>
                <w:rPr>
                  <w:rFonts w:ascii="sans-serif" w:hAnsi="sans-serif" w:cs="sans-serif"/>
                  <w:i/>
                  <w:iCs/>
                  <w:color w:val="0000FF"/>
                  <w:sz w:val="18"/>
                  <w:szCs w:val="18"/>
                </w:rPr>
                <w:t xml:space="preserve"> v. West Pub. Co.,</w:t>
              </w:r>
              <w:r>
                <w:rPr>
                  <w:rFonts w:ascii="sans-serif" w:hAnsi="sans-serif" w:cs="sans-serif"/>
                  <w:color w:val="0000FF"/>
                  <w:sz w:val="18"/>
                  <w:szCs w:val="18"/>
                </w:rPr>
                <w:t xml:space="preserve"> 660 F.3d 275 (7th Cir.2011)</w:t>
              </w:r>
            </w:hyperlink>
            <w:r>
              <w:rPr>
                <w:rFonts w:ascii="sans-serif" w:hAnsi="sans-serif" w:cs="sans-serif"/>
                <w:color w:val="000000"/>
                <w:sz w:val="18"/>
                <w:szCs w:val="18"/>
              </w:rPr>
              <w:t xml:space="preserve">, relied on by Rodriguez, does not compel a contrary conclusion. In </w:t>
            </w:r>
            <w:proofErr w:type="spellStart"/>
            <w:r>
              <w:rPr>
                <w:rFonts w:ascii="sans-serif" w:hAnsi="sans-serif" w:cs="sans-serif"/>
                <w:i/>
                <w:iCs/>
                <w:color w:val="000000"/>
                <w:sz w:val="18"/>
                <w:szCs w:val="18"/>
              </w:rPr>
              <w:t>Graczyk</w:t>
            </w:r>
            <w:proofErr w:type="spellEnd"/>
            <w:r>
              <w:rPr>
                <w:rFonts w:ascii="sans-serif" w:hAnsi="sans-serif" w:cs="sans-serif"/>
                <w:i/>
                <w:iCs/>
                <w:color w:val="000000"/>
                <w:sz w:val="18"/>
                <w:szCs w:val="18"/>
              </w:rPr>
              <w:t>,</w:t>
            </w:r>
            <w:r>
              <w:rPr>
                <w:rFonts w:ascii="sans-serif" w:hAnsi="sans-serif" w:cs="sans-serif"/>
                <w:color w:val="000000"/>
                <w:sz w:val="18"/>
                <w:szCs w:val="18"/>
              </w:rPr>
              <w:t xml:space="preserve"> the Seventh Circuit determined that the plaintiff possessed standing to pursue a civil action for unlawful disclosures in violation of the Driver’s Privacy Protection Act, and that the statute created a federal right of action. </w:t>
            </w:r>
            <w:r>
              <w:rPr>
                <w:rFonts w:ascii="sans-serif" w:hAnsi="sans-serif" w:cs="sans-serif"/>
                <w:i/>
                <w:iCs/>
                <w:color w:val="000000"/>
                <w:sz w:val="18"/>
                <w:szCs w:val="18"/>
              </w:rPr>
              <w:t xml:space="preserve">See </w:t>
            </w:r>
            <w:hyperlink r:id="rId85" w:anchor="co_pp_sp_506_278" w:history="1">
              <w:proofErr w:type="spellStart"/>
              <w:r>
                <w:rPr>
                  <w:rFonts w:ascii="sans-serif" w:hAnsi="sans-serif" w:cs="sans-serif"/>
                  <w:i/>
                  <w:iCs/>
                  <w:color w:val="0000FF"/>
                  <w:sz w:val="18"/>
                  <w:szCs w:val="18"/>
                </w:rPr>
                <w:t>Graczyk</w:t>
              </w:r>
              <w:proofErr w:type="spellEnd"/>
              <w:r>
                <w:rPr>
                  <w:rFonts w:ascii="sans-serif" w:hAnsi="sans-serif" w:cs="sans-serif"/>
                  <w:i/>
                  <w:iCs/>
                  <w:color w:val="0000FF"/>
                  <w:sz w:val="18"/>
                  <w:szCs w:val="18"/>
                </w:rPr>
                <w:t>,</w:t>
              </w:r>
              <w:r>
                <w:rPr>
                  <w:rFonts w:ascii="sans-serif" w:hAnsi="sans-serif" w:cs="sans-serif"/>
                  <w:color w:val="0000FF"/>
                  <w:sz w:val="18"/>
                  <w:szCs w:val="18"/>
                </w:rPr>
                <w:t xml:space="preserve"> </w:t>
              </w:r>
              <w:proofErr w:type="gramStart"/>
              <w:r>
                <w:rPr>
                  <w:rFonts w:ascii="sans-serif" w:hAnsi="sans-serif" w:cs="sans-serif"/>
                  <w:color w:val="0000FF"/>
                  <w:sz w:val="18"/>
                  <w:szCs w:val="18"/>
                </w:rPr>
                <w:t>660 F.3d at 278</w:t>
              </w:r>
              <w:proofErr w:type="gramEnd"/>
            </w:hyperlink>
            <w:r>
              <w:rPr>
                <w:rFonts w:ascii="sans-serif" w:hAnsi="sans-serif" w:cs="sans-serif"/>
                <w:color w:val="000000"/>
                <w:sz w:val="18"/>
                <w:szCs w:val="18"/>
              </w:rPr>
              <w:t>. No retention claim was at issue.</w:t>
            </w:r>
          </w:p>
          <w:p w:rsidR="007D5238" w:rsidRDefault="007D5238">
            <w:pPr>
              <w:widowControl w:val="0"/>
              <w:autoSpaceDE w:val="0"/>
              <w:autoSpaceDN w:val="0"/>
              <w:adjustRightInd w:val="0"/>
              <w:spacing w:after="0" w:line="240" w:lineRule="auto"/>
              <w:jc w:val="both"/>
              <w:rPr>
                <w:rFonts w:ascii="sans-serif" w:hAnsi="sans-serif" w:cs="sans-serif"/>
                <w:color w:val="000000"/>
                <w:sz w:val="18"/>
                <w:szCs w:val="18"/>
              </w:rPr>
            </w:pPr>
          </w:p>
        </w:tc>
      </w:tr>
      <w:bookmarkStart w:id="42" w:name="co_footnote_B00432037077884_1"/>
      <w:bookmarkEnd w:id="42"/>
      <w:tr w:rsidR="007D5238">
        <w:tc>
          <w:tcPr>
            <w:tcW w:w="600" w:type="dxa"/>
            <w:tcBorders>
              <w:top w:val="nil"/>
              <w:left w:val="nil"/>
              <w:bottom w:val="nil"/>
              <w:right w:val="nil"/>
            </w:tcBorders>
          </w:tcPr>
          <w:p w:rsidR="007D5238" w:rsidRDefault="004B3836">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"#co_footnoteReference_B00432037077884_ID0" </w:instrText>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3</w:t>
            </w:r>
            <w:r>
              <w:rPr>
                <w:rFonts w:ascii="sans-serif" w:hAnsi="sans-serif" w:cs="sans-serif"/>
                <w:color w:val="000000"/>
                <w:sz w:val="24"/>
                <w:szCs w:val="24"/>
              </w:rPr>
              <w:fldChar w:fldCharType="end"/>
            </w:r>
          </w:p>
          <w:p w:rsidR="007D5238" w:rsidRDefault="007D5238">
            <w:pPr>
              <w:widowControl w:val="0"/>
              <w:autoSpaceDE w:val="0"/>
              <w:autoSpaceDN w:val="0"/>
              <w:adjustRightInd w:val="0"/>
              <w:spacing w:after="0" w:line="240" w:lineRule="auto"/>
              <w:rPr>
                <w:rFonts w:ascii="sans-serif" w:hAnsi="sans-serif" w:cs="sans-serif"/>
                <w:color w:val="000000"/>
                <w:sz w:val="24"/>
                <w:szCs w:val="24"/>
              </w:rPr>
            </w:pPr>
          </w:p>
        </w:tc>
        <w:tc>
          <w:tcPr>
            <w:tcW w:w="9480" w:type="dxa"/>
            <w:tcBorders>
              <w:top w:val="nil"/>
              <w:left w:val="nil"/>
              <w:bottom w:val="nil"/>
              <w:right w:val="nil"/>
            </w:tcBorders>
          </w:tcPr>
          <w:p w:rsidR="007D5238" w:rsidRDefault="004B3836">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 xml:space="preserve">No House Report was submitted in support of the Act. </w:t>
            </w:r>
            <w:r>
              <w:rPr>
                <w:rFonts w:ascii="sans-serif" w:hAnsi="sans-serif" w:cs="sans-serif"/>
                <w:i/>
                <w:iCs/>
                <w:color w:val="000000"/>
                <w:sz w:val="18"/>
                <w:szCs w:val="18"/>
              </w:rPr>
              <w:t>See</w:t>
            </w:r>
            <w:r>
              <w:rPr>
                <w:rFonts w:ascii="sans-serif" w:hAnsi="sans-serif" w:cs="sans-serif"/>
                <w:color w:val="000000"/>
                <w:sz w:val="18"/>
                <w:szCs w:val="18"/>
              </w:rPr>
              <w:t xml:space="preserve"> </w:t>
            </w:r>
            <w:hyperlink r:id="rId86" w:history="1">
              <w:proofErr w:type="spellStart"/>
              <w:r>
                <w:rPr>
                  <w:rFonts w:ascii="sans-serif" w:hAnsi="sans-serif" w:cs="sans-serif"/>
                  <w:color w:val="0000FF"/>
                  <w:sz w:val="18"/>
                  <w:szCs w:val="18"/>
                </w:rPr>
                <w:t>S.Rep</w:t>
              </w:r>
              <w:proofErr w:type="spellEnd"/>
              <w:r>
                <w:rPr>
                  <w:rFonts w:ascii="sans-serif" w:hAnsi="sans-serif" w:cs="sans-serif"/>
                  <w:color w:val="0000FF"/>
                  <w:sz w:val="18"/>
                  <w:szCs w:val="18"/>
                </w:rPr>
                <w:t>. No. 100–599, at 1</w:t>
              </w:r>
            </w:hyperlink>
            <w:r>
              <w:rPr>
                <w:rFonts w:ascii="sans-serif" w:hAnsi="sans-serif" w:cs="sans-serif"/>
                <w:color w:val="000000"/>
                <w:sz w:val="18"/>
                <w:szCs w:val="18"/>
              </w:rPr>
              <w:t xml:space="preserve"> (1988).</w:t>
            </w:r>
          </w:p>
          <w:p w:rsidR="007D5238" w:rsidRDefault="007D5238">
            <w:pPr>
              <w:widowControl w:val="0"/>
              <w:autoSpaceDE w:val="0"/>
              <w:autoSpaceDN w:val="0"/>
              <w:adjustRightInd w:val="0"/>
              <w:spacing w:after="0" w:line="240" w:lineRule="auto"/>
              <w:jc w:val="both"/>
              <w:rPr>
                <w:rFonts w:ascii="sans-serif" w:hAnsi="sans-serif" w:cs="sans-serif"/>
                <w:color w:val="000000"/>
                <w:sz w:val="18"/>
                <w:szCs w:val="18"/>
              </w:rPr>
            </w:pPr>
          </w:p>
        </w:tc>
      </w:tr>
      <w:bookmarkStart w:id="43" w:name="co_footnote_B00542037077884_1"/>
      <w:bookmarkEnd w:id="43"/>
      <w:tr w:rsidR="007D5238">
        <w:tc>
          <w:tcPr>
            <w:tcW w:w="600" w:type="dxa"/>
            <w:tcBorders>
              <w:top w:val="nil"/>
              <w:left w:val="nil"/>
              <w:bottom w:val="nil"/>
              <w:right w:val="nil"/>
            </w:tcBorders>
          </w:tcPr>
          <w:p w:rsidR="007D5238" w:rsidRDefault="004B3836">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"#co_footnoteReference_B00542037077884_ID0" </w:instrText>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4</w:t>
            </w:r>
            <w:r>
              <w:rPr>
                <w:rFonts w:ascii="sans-serif" w:hAnsi="sans-serif" w:cs="sans-serif"/>
                <w:color w:val="000000"/>
                <w:sz w:val="24"/>
                <w:szCs w:val="24"/>
              </w:rPr>
              <w:fldChar w:fldCharType="end"/>
            </w:r>
          </w:p>
          <w:p w:rsidR="007D5238" w:rsidRDefault="007D5238">
            <w:pPr>
              <w:widowControl w:val="0"/>
              <w:autoSpaceDE w:val="0"/>
              <w:autoSpaceDN w:val="0"/>
              <w:adjustRightInd w:val="0"/>
              <w:spacing w:after="0" w:line="240" w:lineRule="auto"/>
              <w:rPr>
                <w:rFonts w:ascii="sans-serif" w:hAnsi="sans-serif" w:cs="sans-serif"/>
                <w:color w:val="000000"/>
                <w:sz w:val="24"/>
                <w:szCs w:val="24"/>
              </w:rPr>
            </w:pPr>
          </w:p>
        </w:tc>
        <w:tc>
          <w:tcPr>
            <w:tcW w:w="9480" w:type="dxa"/>
            <w:tcBorders>
              <w:top w:val="nil"/>
              <w:left w:val="nil"/>
              <w:bottom w:val="nil"/>
              <w:right w:val="nil"/>
            </w:tcBorders>
          </w:tcPr>
          <w:p w:rsidR="007D5238" w:rsidRDefault="004B3836">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 xml:space="preserve">Rodriguez relies on </w:t>
            </w:r>
            <w:hyperlink r:id="rId87" w:history="1">
              <w:r>
                <w:rPr>
                  <w:rFonts w:ascii="sans-serif" w:hAnsi="sans-serif" w:cs="sans-serif"/>
                  <w:i/>
                  <w:iCs/>
                  <w:color w:val="0000FF"/>
                  <w:sz w:val="18"/>
                  <w:szCs w:val="18"/>
                </w:rPr>
                <w:t>Cent. Bank of Denver, N.A. v. First Interstate Bank of Denver, N.A.,</w:t>
              </w:r>
              <w:r>
                <w:rPr>
                  <w:rFonts w:ascii="sans-serif" w:hAnsi="sans-serif" w:cs="sans-serif"/>
                  <w:color w:val="0000FF"/>
                  <w:sz w:val="18"/>
                  <w:szCs w:val="18"/>
                </w:rPr>
                <w:t xml:space="preserve"> 511 U.S. 164, 114 </w:t>
              </w:r>
              <w:proofErr w:type="spellStart"/>
              <w:r>
                <w:rPr>
                  <w:rFonts w:ascii="sans-serif" w:hAnsi="sans-serif" w:cs="sans-serif"/>
                  <w:color w:val="0000FF"/>
                  <w:sz w:val="18"/>
                  <w:szCs w:val="18"/>
                </w:rPr>
                <w:t>S.Ct</w:t>
              </w:r>
              <w:proofErr w:type="spellEnd"/>
              <w:r>
                <w:rPr>
                  <w:rFonts w:ascii="sans-serif" w:hAnsi="sans-serif" w:cs="sans-serif"/>
                  <w:color w:val="0000FF"/>
                  <w:sz w:val="18"/>
                  <w:szCs w:val="18"/>
                </w:rPr>
                <w:t>. 1439, 128 L.Ed.2d 119 (1994)</w:t>
              </w:r>
            </w:hyperlink>
            <w:r>
              <w:rPr>
                <w:rFonts w:ascii="sans-serif" w:hAnsi="sans-serif" w:cs="sans-serif"/>
                <w:color w:val="000000"/>
                <w:sz w:val="18"/>
                <w:szCs w:val="18"/>
              </w:rPr>
              <w:t xml:space="preserve">, for the proposition that we may not consider Congress’ failure to amend </w:t>
            </w:r>
            <w:hyperlink r:id="rId88" w:history="1">
              <w:r>
                <w:rPr>
                  <w:rFonts w:ascii="sans-serif" w:hAnsi="sans-serif" w:cs="sans-serif"/>
                  <w:color w:val="0000FF"/>
                  <w:sz w:val="18"/>
                  <w:szCs w:val="18"/>
                </w:rPr>
                <w:t>18 U.S.C. § 2710</w:t>
              </w:r>
            </w:hyperlink>
            <w:r>
              <w:rPr>
                <w:rFonts w:ascii="sans-serif" w:hAnsi="sans-serif" w:cs="sans-serif"/>
                <w:color w:val="000000"/>
                <w:sz w:val="18"/>
                <w:szCs w:val="18"/>
              </w:rPr>
              <w:t xml:space="preserve"> as Congressional endorsement of the decisions of the Sixth and Seventh Circuits. In </w:t>
            </w:r>
            <w:r>
              <w:rPr>
                <w:rFonts w:ascii="sans-serif" w:hAnsi="sans-serif" w:cs="sans-serif"/>
                <w:i/>
                <w:iCs/>
                <w:color w:val="000000"/>
                <w:sz w:val="18"/>
                <w:szCs w:val="18"/>
              </w:rPr>
              <w:t>Cent. Bank of Denver,</w:t>
            </w:r>
            <w:r>
              <w:rPr>
                <w:rFonts w:ascii="sans-serif" w:hAnsi="sans-serif" w:cs="sans-serif"/>
                <w:color w:val="000000"/>
                <w:sz w:val="18"/>
                <w:szCs w:val="18"/>
              </w:rPr>
              <w:t xml:space="preserve"> a case involving the interpretation of § 10(b) of the Securities Exchange Act of 1934, the Supreme Court observed that “[w]hen Congress reenacts statutory language that has been given a consistent judicial construction, we often adhere to that construction in interpreting the reenacted statutory language.” </w:t>
            </w:r>
            <w:hyperlink r:id="rId89" w:history="1">
              <w:r>
                <w:rPr>
                  <w:rFonts w:ascii="sans-serif" w:hAnsi="sans-serif" w:cs="sans-serif"/>
                  <w:color w:val="0000FF"/>
                  <w:sz w:val="18"/>
                  <w:szCs w:val="18"/>
                </w:rPr>
                <w:t xml:space="preserve">511 U.S. at 166, 185, 114 </w:t>
              </w:r>
              <w:proofErr w:type="spellStart"/>
              <w:r>
                <w:rPr>
                  <w:rFonts w:ascii="sans-serif" w:hAnsi="sans-serif" w:cs="sans-serif"/>
                  <w:color w:val="0000FF"/>
                  <w:sz w:val="18"/>
                  <w:szCs w:val="18"/>
                </w:rPr>
                <w:t>S.Ct</w:t>
              </w:r>
              <w:proofErr w:type="spellEnd"/>
              <w:r>
                <w:rPr>
                  <w:rFonts w:ascii="sans-serif" w:hAnsi="sans-serif" w:cs="sans-serif"/>
                  <w:color w:val="0000FF"/>
                  <w:sz w:val="18"/>
                  <w:szCs w:val="18"/>
                </w:rPr>
                <w:t>. 1439</w:t>
              </w:r>
            </w:hyperlink>
            <w:r>
              <w:rPr>
                <w:rFonts w:ascii="sans-serif" w:hAnsi="sans-serif" w:cs="sans-serif"/>
                <w:color w:val="000000"/>
                <w:sz w:val="18"/>
                <w:szCs w:val="18"/>
              </w:rPr>
              <w:t xml:space="preserve"> (citations omitted). However, the Supreme Court did not apply that rule of statutory construction because “Congress has not reenacted the language of § 10(b) since 1934 ...” </w:t>
            </w:r>
            <w:hyperlink r:id="rId90" w:history="1">
              <w:r>
                <w:rPr>
                  <w:rFonts w:ascii="sans-serif" w:hAnsi="sans-serif" w:cs="sans-serif"/>
                  <w:i/>
                  <w:iCs/>
                  <w:color w:val="0000FF"/>
                  <w:sz w:val="18"/>
                  <w:szCs w:val="18"/>
                </w:rPr>
                <w:t>Id.</w:t>
              </w:r>
              <w:r>
                <w:rPr>
                  <w:rFonts w:ascii="sans-serif" w:hAnsi="sans-serif" w:cs="sans-serif"/>
                  <w:color w:val="0000FF"/>
                  <w:sz w:val="18"/>
                  <w:szCs w:val="18"/>
                </w:rPr>
                <w:t xml:space="preserve"> at 185, 114 </w:t>
              </w:r>
              <w:proofErr w:type="spellStart"/>
              <w:r>
                <w:rPr>
                  <w:rFonts w:ascii="sans-serif" w:hAnsi="sans-serif" w:cs="sans-serif"/>
                  <w:color w:val="0000FF"/>
                  <w:sz w:val="18"/>
                  <w:szCs w:val="18"/>
                </w:rPr>
                <w:t>S.Ct</w:t>
              </w:r>
              <w:proofErr w:type="spellEnd"/>
              <w:r>
                <w:rPr>
                  <w:rFonts w:ascii="sans-serif" w:hAnsi="sans-serif" w:cs="sans-serif"/>
                  <w:color w:val="0000FF"/>
                  <w:sz w:val="18"/>
                  <w:szCs w:val="18"/>
                </w:rPr>
                <w:t>. 1439</w:t>
              </w:r>
            </w:hyperlink>
            <w:r>
              <w:rPr>
                <w:rFonts w:ascii="sans-serif" w:hAnsi="sans-serif" w:cs="sans-serif"/>
                <w:color w:val="000000"/>
                <w:sz w:val="18"/>
                <w:szCs w:val="18"/>
              </w:rPr>
              <w:t xml:space="preserve"> (citation omitted).</w:t>
            </w:r>
          </w:p>
          <w:p w:rsidR="007D5238" w:rsidRDefault="007D5238">
            <w:pPr>
              <w:widowControl w:val="0"/>
              <w:autoSpaceDE w:val="0"/>
              <w:autoSpaceDN w:val="0"/>
              <w:adjustRightInd w:val="0"/>
              <w:spacing w:after="0" w:line="240" w:lineRule="auto"/>
              <w:jc w:val="both"/>
              <w:rPr>
                <w:rFonts w:ascii="sans-serif" w:hAnsi="sans-serif" w:cs="sans-serif"/>
                <w:color w:val="000000"/>
                <w:sz w:val="18"/>
                <w:szCs w:val="18"/>
              </w:rPr>
            </w:pPr>
          </w:p>
        </w:tc>
      </w:tr>
      <w:bookmarkStart w:id="44" w:name="co_footnote_B00652037077884_1"/>
      <w:bookmarkEnd w:id="44"/>
      <w:tr w:rsidR="007D5238">
        <w:tc>
          <w:tcPr>
            <w:tcW w:w="600" w:type="dxa"/>
            <w:tcBorders>
              <w:top w:val="nil"/>
              <w:left w:val="nil"/>
              <w:bottom w:val="nil"/>
              <w:right w:val="nil"/>
            </w:tcBorders>
          </w:tcPr>
          <w:p w:rsidR="007D5238" w:rsidRDefault="004B3836">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fldChar w:fldCharType="begin"/>
            </w:r>
            <w:r>
              <w:rPr>
                <w:rFonts w:ascii="sans-serif" w:hAnsi="sans-serif" w:cs="sans-serif"/>
                <w:color w:val="000000"/>
                <w:sz w:val="24"/>
                <w:szCs w:val="24"/>
              </w:rPr>
              <w:instrText xml:space="preserve">HYPERLINK "#co_footnoteReference_B00652037077884_ID0" </w:instrText>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5</w:t>
            </w:r>
            <w:r>
              <w:rPr>
                <w:rFonts w:ascii="sans-serif" w:hAnsi="sans-serif" w:cs="sans-serif"/>
                <w:color w:val="000000"/>
                <w:sz w:val="24"/>
                <w:szCs w:val="24"/>
              </w:rPr>
              <w:fldChar w:fldCharType="end"/>
            </w:r>
          </w:p>
          <w:p w:rsidR="007D5238" w:rsidRDefault="007D5238">
            <w:pPr>
              <w:widowControl w:val="0"/>
              <w:autoSpaceDE w:val="0"/>
              <w:autoSpaceDN w:val="0"/>
              <w:adjustRightInd w:val="0"/>
              <w:spacing w:after="0" w:line="240" w:lineRule="auto"/>
              <w:rPr>
                <w:rFonts w:ascii="sans-serif" w:hAnsi="sans-serif" w:cs="sans-serif"/>
                <w:color w:val="000000"/>
                <w:sz w:val="24"/>
                <w:szCs w:val="24"/>
              </w:rPr>
            </w:pPr>
          </w:p>
        </w:tc>
        <w:tc>
          <w:tcPr>
            <w:tcW w:w="9480" w:type="dxa"/>
            <w:tcBorders>
              <w:top w:val="nil"/>
              <w:left w:val="nil"/>
              <w:bottom w:val="nil"/>
              <w:right w:val="nil"/>
            </w:tcBorders>
          </w:tcPr>
          <w:p w:rsidR="007D5238" w:rsidRDefault="004B3836">
            <w:pPr>
              <w:widowControl w:val="0"/>
              <w:autoSpaceDE w:val="0"/>
              <w:autoSpaceDN w:val="0"/>
              <w:adjustRightInd w:val="0"/>
              <w:spacing w:after="0" w:line="240" w:lineRule="auto"/>
              <w:jc w:val="both"/>
              <w:rPr>
                <w:rFonts w:ascii="sans-serif" w:hAnsi="sans-serif" w:cs="sans-serif"/>
                <w:i/>
                <w:iCs/>
                <w:color w:val="000000"/>
                <w:sz w:val="18"/>
                <w:szCs w:val="18"/>
              </w:rPr>
            </w:pPr>
            <w:r>
              <w:rPr>
                <w:rFonts w:ascii="sans-serif" w:hAnsi="sans-serif" w:cs="sans-serif"/>
                <w:color w:val="000000"/>
                <w:sz w:val="18"/>
                <w:szCs w:val="18"/>
              </w:rPr>
              <w:t xml:space="preserve">Sony challenges Rodriguez’s standing to pursue an unlawful disclosure claim because he failed to allege an injury-in-fact. The Seventh Circuit has rejected a similar challenge to a plaintiff’s standing under the Act. </w:t>
            </w:r>
            <w:r>
              <w:rPr>
                <w:rFonts w:ascii="sans-serif" w:hAnsi="sans-serif" w:cs="sans-serif"/>
                <w:i/>
                <w:iCs/>
                <w:color w:val="000000"/>
                <w:sz w:val="18"/>
                <w:szCs w:val="18"/>
              </w:rPr>
              <w:t xml:space="preserve">See </w:t>
            </w:r>
            <w:hyperlink r:id="rId91" w:anchor="co_pp_sp_506_623" w:history="1">
              <w:proofErr w:type="spellStart"/>
              <w:r>
                <w:rPr>
                  <w:rFonts w:ascii="sans-serif" w:hAnsi="sans-serif" w:cs="sans-serif"/>
                  <w:i/>
                  <w:iCs/>
                  <w:color w:val="0000FF"/>
                  <w:sz w:val="18"/>
                  <w:szCs w:val="18"/>
                </w:rPr>
                <w:t>Sterk</w:t>
              </w:r>
              <w:proofErr w:type="spellEnd"/>
              <w:r>
                <w:rPr>
                  <w:rFonts w:ascii="sans-serif" w:hAnsi="sans-serif" w:cs="sans-serif"/>
                  <w:i/>
                  <w:iCs/>
                  <w:color w:val="0000FF"/>
                  <w:sz w:val="18"/>
                  <w:szCs w:val="18"/>
                </w:rPr>
                <w:t xml:space="preserve"> v. Redbox Automated Retail, LLC,</w:t>
              </w:r>
              <w:r>
                <w:rPr>
                  <w:rFonts w:ascii="sans-serif" w:hAnsi="sans-serif" w:cs="sans-serif"/>
                  <w:color w:val="0000FF"/>
                  <w:sz w:val="18"/>
                  <w:szCs w:val="18"/>
                </w:rPr>
                <w:t xml:space="preserve"> 770 F.3d 618, 623 (7th Cir.2014)</w:t>
              </w:r>
            </w:hyperlink>
            <w:r>
              <w:rPr>
                <w:rFonts w:ascii="sans-serif" w:hAnsi="sans-serif" w:cs="sans-serif"/>
                <w:color w:val="000000"/>
                <w:sz w:val="18"/>
                <w:szCs w:val="18"/>
              </w:rPr>
              <w:t xml:space="preserve"> (</w:t>
            </w:r>
            <w:proofErr w:type="spellStart"/>
            <w:r>
              <w:rPr>
                <w:rFonts w:ascii="sans-serif" w:hAnsi="sans-serif" w:cs="sans-serif"/>
                <w:i/>
                <w:iCs/>
                <w:color w:val="000000"/>
                <w:sz w:val="18"/>
                <w:szCs w:val="18"/>
              </w:rPr>
              <w:t>Sterk</w:t>
            </w:r>
            <w:proofErr w:type="spellEnd"/>
            <w:r>
              <w:rPr>
                <w:rFonts w:ascii="sans-serif" w:hAnsi="sans-serif" w:cs="sans-serif"/>
                <w:i/>
                <w:iCs/>
                <w:color w:val="000000"/>
                <w:sz w:val="18"/>
                <w:szCs w:val="18"/>
              </w:rPr>
              <w:t xml:space="preserve"> </w:t>
            </w:r>
            <w:proofErr w:type="gramStart"/>
            <w:r>
              <w:rPr>
                <w:rFonts w:ascii="sans-serif" w:hAnsi="sans-serif" w:cs="sans-serif"/>
                <w:i/>
                <w:iCs/>
                <w:color w:val="000000"/>
                <w:sz w:val="18"/>
                <w:szCs w:val="18"/>
              </w:rPr>
              <w:t>II</w:t>
            </w:r>
            <w:r>
              <w:rPr>
                <w:rFonts w:ascii="sans-serif" w:hAnsi="sans-serif" w:cs="sans-serif"/>
                <w:color w:val="000000"/>
                <w:sz w:val="18"/>
                <w:szCs w:val="18"/>
              </w:rPr>
              <w:t xml:space="preserve"> )</w:t>
            </w:r>
            <w:proofErr w:type="gramEnd"/>
            <w:r>
              <w:rPr>
                <w:rFonts w:ascii="sans-serif" w:hAnsi="sans-serif" w:cs="sans-serif"/>
                <w:color w:val="000000"/>
                <w:sz w:val="18"/>
                <w:szCs w:val="18"/>
              </w:rPr>
              <w:t xml:space="preserve">. The Seventh Circuit observed that “Redbox appears to confuse the separate issue of whether plaintiffs have suffered financial harm as a result of the disclosure with Article III’s injury-in-fact requirement for purposes of constitutional standing to bring suit in the first place.” </w:t>
            </w:r>
            <w:r>
              <w:rPr>
                <w:rFonts w:ascii="sans-serif" w:hAnsi="sans-serif" w:cs="sans-serif"/>
                <w:i/>
                <w:iCs/>
                <w:color w:val="000000"/>
                <w:sz w:val="18"/>
                <w:szCs w:val="18"/>
              </w:rPr>
              <w:t>Id.</w:t>
            </w:r>
            <w:r>
              <w:rPr>
                <w:rFonts w:ascii="sans-serif" w:hAnsi="sans-serif" w:cs="sans-serif"/>
                <w:color w:val="000000"/>
                <w:sz w:val="18"/>
                <w:szCs w:val="18"/>
              </w:rPr>
              <w:t xml:space="preserve"> (footnote </w:t>
            </w:r>
            <w:r>
              <w:rPr>
                <w:rFonts w:ascii="sans-serif" w:hAnsi="sans-serif" w:cs="sans-serif"/>
                <w:color w:val="000000"/>
                <w:sz w:val="18"/>
                <w:szCs w:val="18"/>
              </w:rPr>
              <w:lastRenderedPageBreak/>
              <w:t xml:space="preserve">reference omitted). “By alleging that Redbox disclosed their personal information in violation of the [Act, the plaintiffs] have met their burden of demonstrating that they suffered an injury in fact that success in this suit would redress.” </w:t>
            </w:r>
            <w:r>
              <w:rPr>
                <w:rFonts w:ascii="sans-serif" w:hAnsi="sans-serif" w:cs="sans-serif"/>
                <w:i/>
                <w:iCs/>
                <w:color w:val="000000"/>
                <w:sz w:val="18"/>
                <w:szCs w:val="18"/>
              </w:rPr>
              <w:t>Id.</w:t>
            </w:r>
            <w:r>
              <w:rPr>
                <w:rFonts w:ascii="sans-serif" w:hAnsi="sans-serif" w:cs="sans-serif"/>
                <w:color w:val="000000"/>
                <w:sz w:val="18"/>
                <w:szCs w:val="18"/>
              </w:rPr>
              <w:t xml:space="preserve"> We reach a similar conclusion as to Rodriguez’s standing. </w:t>
            </w:r>
            <w:r>
              <w:rPr>
                <w:rFonts w:ascii="sans-serif" w:hAnsi="sans-serif" w:cs="sans-serif"/>
                <w:i/>
                <w:iCs/>
                <w:color w:val="000000"/>
                <w:sz w:val="18"/>
                <w:szCs w:val="18"/>
              </w:rPr>
              <w:t>See id.</w:t>
            </w:r>
          </w:p>
          <w:p w:rsidR="007D5238" w:rsidRDefault="007D5238">
            <w:pPr>
              <w:widowControl w:val="0"/>
              <w:autoSpaceDE w:val="0"/>
              <w:autoSpaceDN w:val="0"/>
              <w:adjustRightInd w:val="0"/>
              <w:spacing w:after="0" w:line="240" w:lineRule="auto"/>
              <w:jc w:val="both"/>
              <w:rPr>
                <w:rFonts w:ascii="sans-serif" w:hAnsi="sans-serif" w:cs="sans-serif"/>
                <w:i/>
                <w:iCs/>
                <w:color w:val="000000"/>
                <w:sz w:val="18"/>
                <w:szCs w:val="18"/>
              </w:rPr>
            </w:pPr>
          </w:p>
        </w:tc>
      </w:tr>
      <w:bookmarkStart w:id="45" w:name="co_footnote_B00762037077884_1"/>
      <w:bookmarkEnd w:id="45"/>
      <w:tr w:rsidR="007D5238">
        <w:tc>
          <w:tcPr>
            <w:tcW w:w="600" w:type="dxa"/>
            <w:tcBorders>
              <w:top w:val="nil"/>
              <w:left w:val="nil"/>
              <w:bottom w:val="nil"/>
              <w:right w:val="nil"/>
            </w:tcBorders>
          </w:tcPr>
          <w:p w:rsidR="007D5238" w:rsidRDefault="004B3836">
            <w:pPr>
              <w:widowControl w:val="0"/>
              <w:autoSpaceDE w:val="0"/>
              <w:autoSpaceDN w:val="0"/>
              <w:adjustRightInd w:val="0"/>
              <w:spacing w:after="0" w:line="240" w:lineRule="auto"/>
              <w:rPr>
                <w:rFonts w:ascii="sans-serif" w:hAnsi="sans-serif" w:cs="sans-serif"/>
                <w:color w:val="000000"/>
                <w:sz w:val="24"/>
                <w:szCs w:val="24"/>
              </w:rPr>
            </w:pPr>
            <w:r>
              <w:rPr>
                <w:rFonts w:ascii="sans-serif" w:hAnsi="sans-serif" w:cs="sans-serif"/>
                <w:color w:val="000000"/>
                <w:sz w:val="24"/>
                <w:szCs w:val="24"/>
              </w:rPr>
              <w:lastRenderedPageBreak/>
              <w:fldChar w:fldCharType="begin"/>
            </w:r>
            <w:r>
              <w:rPr>
                <w:rFonts w:ascii="sans-serif" w:hAnsi="sans-serif" w:cs="sans-serif"/>
                <w:color w:val="000000"/>
                <w:sz w:val="24"/>
                <w:szCs w:val="24"/>
              </w:rPr>
              <w:instrText xml:space="preserve">HYPERLINK "#co_footnoteReference_B00762037077884_ID0" </w:instrText>
            </w:r>
            <w:r>
              <w:rPr>
                <w:rFonts w:ascii="sans-serif" w:hAnsi="sans-serif" w:cs="sans-serif"/>
                <w:color w:val="000000"/>
                <w:sz w:val="24"/>
                <w:szCs w:val="24"/>
              </w:rPr>
              <w:fldChar w:fldCharType="separate"/>
            </w:r>
            <w:r>
              <w:rPr>
                <w:rFonts w:ascii="sans-serif" w:hAnsi="sans-serif" w:cs="sans-serif"/>
                <w:color w:val="0000FF"/>
                <w:sz w:val="24"/>
                <w:szCs w:val="24"/>
                <w:vertAlign w:val="superscript"/>
              </w:rPr>
              <w:t>6</w:t>
            </w:r>
            <w:r>
              <w:rPr>
                <w:rFonts w:ascii="sans-serif" w:hAnsi="sans-serif" w:cs="sans-serif"/>
                <w:color w:val="000000"/>
                <w:sz w:val="24"/>
                <w:szCs w:val="24"/>
              </w:rPr>
              <w:fldChar w:fldCharType="end"/>
            </w:r>
          </w:p>
          <w:p w:rsidR="007D5238" w:rsidRDefault="007D5238">
            <w:pPr>
              <w:widowControl w:val="0"/>
              <w:autoSpaceDE w:val="0"/>
              <w:autoSpaceDN w:val="0"/>
              <w:adjustRightInd w:val="0"/>
              <w:spacing w:after="0" w:line="240" w:lineRule="auto"/>
              <w:rPr>
                <w:rFonts w:ascii="sans-serif" w:hAnsi="sans-serif" w:cs="sans-serif"/>
                <w:color w:val="000000"/>
                <w:sz w:val="24"/>
                <w:szCs w:val="24"/>
              </w:rPr>
            </w:pPr>
          </w:p>
        </w:tc>
        <w:tc>
          <w:tcPr>
            <w:tcW w:w="9480" w:type="dxa"/>
            <w:tcBorders>
              <w:top w:val="nil"/>
              <w:left w:val="nil"/>
              <w:bottom w:val="nil"/>
              <w:right w:val="nil"/>
            </w:tcBorders>
          </w:tcPr>
          <w:p w:rsidR="007D5238" w:rsidRDefault="004B3836">
            <w:pPr>
              <w:widowControl w:val="0"/>
              <w:autoSpaceDE w:val="0"/>
              <w:autoSpaceDN w:val="0"/>
              <w:adjustRightInd w:val="0"/>
              <w:spacing w:after="0" w:line="240" w:lineRule="auto"/>
              <w:jc w:val="both"/>
              <w:rPr>
                <w:rFonts w:ascii="sans-serif" w:hAnsi="sans-serif" w:cs="sans-serif"/>
                <w:color w:val="000000"/>
                <w:sz w:val="18"/>
                <w:szCs w:val="18"/>
              </w:rPr>
            </w:pPr>
            <w:r>
              <w:rPr>
                <w:rFonts w:ascii="sans-serif" w:hAnsi="sans-serif" w:cs="sans-serif"/>
                <w:color w:val="000000"/>
                <w:sz w:val="18"/>
                <w:szCs w:val="18"/>
              </w:rPr>
              <w:t xml:space="preserve">We do not agree with Rodriguez that the determination of whether the exemption applies is a factual determination. </w:t>
            </w:r>
            <w:r>
              <w:rPr>
                <w:rFonts w:ascii="sans-serif" w:hAnsi="sans-serif" w:cs="sans-serif"/>
                <w:i/>
                <w:iCs/>
                <w:color w:val="000000"/>
                <w:sz w:val="18"/>
                <w:szCs w:val="18"/>
              </w:rPr>
              <w:t xml:space="preserve">See </w:t>
            </w:r>
            <w:hyperlink r:id="rId92" w:anchor="co_pp_sp_506_849" w:history="1">
              <w:r>
                <w:rPr>
                  <w:rFonts w:ascii="sans-serif" w:hAnsi="sans-serif" w:cs="sans-serif"/>
                  <w:i/>
                  <w:iCs/>
                  <w:color w:val="0000FF"/>
                  <w:sz w:val="18"/>
                  <w:szCs w:val="18"/>
                </w:rPr>
                <w:t xml:space="preserve">Miranda v. </w:t>
              </w:r>
              <w:proofErr w:type="spellStart"/>
              <w:r>
                <w:rPr>
                  <w:rFonts w:ascii="sans-serif" w:hAnsi="sans-serif" w:cs="sans-serif"/>
                  <w:i/>
                  <w:iCs/>
                  <w:color w:val="0000FF"/>
                  <w:sz w:val="18"/>
                  <w:szCs w:val="18"/>
                </w:rPr>
                <w:t>Anchondo</w:t>
              </w:r>
              <w:proofErr w:type="spellEnd"/>
              <w:r>
                <w:rPr>
                  <w:rFonts w:ascii="sans-serif" w:hAnsi="sans-serif" w:cs="sans-serif"/>
                  <w:i/>
                  <w:iCs/>
                  <w:color w:val="0000FF"/>
                  <w:sz w:val="18"/>
                  <w:szCs w:val="18"/>
                </w:rPr>
                <w:t>,</w:t>
              </w:r>
              <w:r>
                <w:rPr>
                  <w:rFonts w:ascii="sans-serif" w:hAnsi="sans-serif" w:cs="sans-serif"/>
                  <w:color w:val="0000FF"/>
                  <w:sz w:val="18"/>
                  <w:szCs w:val="18"/>
                </w:rPr>
                <w:t xml:space="preserve"> 684 F.3d 844, 849 (9th Cir.2012)</w:t>
              </w:r>
            </w:hyperlink>
            <w:r>
              <w:rPr>
                <w:rFonts w:ascii="sans-serif" w:hAnsi="sans-serif" w:cs="sans-serif"/>
                <w:color w:val="000000"/>
                <w:sz w:val="18"/>
                <w:szCs w:val="18"/>
              </w:rPr>
              <w:t xml:space="preserve">, </w:t>
            </w:r>
            <w:r>
              <w:rPr>
                <w:rFonts w:ascii="sans-serif" w:hAnsi="sans-serif" w:cs="sans-serif"/>
                <w:i/>
                <w:iCs/>
                <w:color w:val="000000"/>
                <w:sz w:val="18"/>
                <w:szCs w:val="18"/>
              </w:rPr>
              <w:t>as amended</w:t>
            </w:r>
            <w:r>
              <w:rPr>
                <w:rFonts w:ascii="sans-serif" w:hAnsi="sans-serif" w:cs="sans-serif"/>
                <w:color w:val="000000"/>
                <w:sz w:val="18"/>
                <w:szCs w:val="18"/>
              </w:rPr>
              <w:t xml:space="preserve"> (“The construction or interpretation of a statute is a question of law ...”) (citation omitted).</w:t>
            </w:r>
          </w:p>
          <w:p w:rsidR="007D5238" w:rsidRDefault="007D5238">
            <w:pPr>
              <w:widowControl w:val="0"/>
              <w:autoSpaceDE w:val="0"/>
              <w:autoSpaceDN w:val="0"/>
              <w:adjustRightInd w:val="0"/>
              <w:spacing w:after="0" w:line="240" w:lineRule="auto"/>
              <w:jc w:val="both"/>
              <w:rPr>
                <w:rFonts w:ascii="sans-serif" w:hAnsi="sans-serif" w:cs="sans-serif"/>
                <w:color w:val="000000"/>
                <w:sz w:val="18"/>
                <w:szCs w:val="18"/>
              </w:rPr>
            </w:pPr>
          </w:p>
        </w:tc>
      </w:tr>
    </w:tbl>
    <w:p w:rsidR="007D5238" w:rsidRDefault="007D5238">
      <w:pPr>
        <w:widowControl w:val="0"/>
        <w:autoSpaceDE w:val="0"/>
        <w:autoSpaceDN w:val="0"/>
        <w:adjustRightInd w:val="0"/>
        <w:spacing w:after="0" w:line="240" w:lineRule="auto"/>
        <w:rPr>
          <w:rFonts w:ascii="Arial" w:hAnsi="Arial" w:cs="Arial"/>
          <w:sz w:val="24"/>
          <w:szCs w:val="24"/>
        </w:rPr>
      </w:pPr>
    </w:p>
    <w:p w:rsidR="007D5238" w:rsidRDefault="007D5238">
      <w:pPr>
        <w:widowControl w:val="0"/>
        <w:autoSpaceDE w:val="0"/>
        <w:autoSpaceDN w:val="0"/>
        <w:adjustRightInd w:val="0"/>
        <w:spacing w:after="0" w:line="240" w:lineRule="auto"/>
        <w:rPr>
          <w:rFonts w:ascii="Times New Roman" w:hAnsi="Times New Roman" w:cs="Times New Roman"/>
          <w:sz w:val="24"/>
          <w:szCs w:val="24"/>
        </w:rPr>
      </w:pPr>
    </w:p>
    <w:p w:rsidR="007D5238" w:rsidRDefault="007D5238">
      <w:pPr>
        <w:widowControl w:val="0"/>
        <w:autoSpaceDE w:val="0"/>
        <w:autoSpaceDN w:val="0"/>
        <w:adjustRightInd w:val="0"/>
        <w:spacing w:after="0" w:line="240" w:lineRule="auto"/>
        <w:rPr>
          <w:rFonts w:ascii="Arial" w:hAnsi="Arial" w:cs="Arial"/>
          <w:sz w:val="24"/>
          <w:szCs w:val="24"/>
        </w:rPr>
        <w:sectPr w:rsidR="007D5238">
          <w:type w:val="continuous"/>
          <w:pgSz w:w="12240" w:h="15840"/>
          <w:pgMar w:top="1080" w:right="1080" w:bottom="1080" w:left="1080" w:header="720" w:footer="720" w:gutter="0"/>
          <w:cols w:space="720"/>
          <w:noEndnote/>
        </w:sectPr>
      </w:pPr>
    </w:p>
    <w:p w:rsidR="007D5238" w:rsidRDefault="007D5238">
      <w:pPr>
        <w:widowControl w:val="0"/>
        <w:autoSpaceDE w:val="0"/>
        <w:autoSpaceDN w:val="0"/>
        <w:adjustRightInd w:val="0"/>
        <w:spacing w:after="0" w:line="240" w:lineRule="auto"/>
        <w:rPr>
          <w:rFonts w:ascii="sans-serif" w:hAnsi="sans-serif" w:cs="sans-serif"/>
          <w:color w:val="000000"/>
          <w:sz w:val="24"/>
          <w:szCs w:val="24"/>
        </w:rPr>
      </w:pPr>
    </w:p>
    <w:p w:rsidR="007D5238" w:rsidRDefault="007D5238">
      <w:pPr>
        <w:widowControl w:val="0"/>
        <w:autoSpaceDE w:val="0"/>
        <w:autoSpaceDN w:val="0"/>
        <w:adjustRightInd w:val="0"/>
        <w:spacing w:after="0" w:line="240" w:lineRule="auto"/>
        <w:rPr>
          <w:rFonts w:ascii="Arial" w:hAnsi="Arial" w:cs="Arial"/>
          <w:sz w:val="24"/>
          <w:szCs w:val="24"/>
        </w:rPr>
        <w:sectPr w:rsidR="007D5238">
          <w:type w:val="continuous"/>
          <w:pgSz w:w="12240" w:h="15840"/>
          <w:pgMar w:top="1080" w:right="1080" w:bottom="1080" w:left="1080" w:header="720" w:footer="720" w:gutter="0"/>
          <w:cols w:num="2" w:space="720"/>
          <w:noEndnote/>
        </w:sectPr>
      </w:pPr>
    </w:p>
    <w:tbl>
      <w:tblPr>
        <w:tblW w:w="0" w:type="auto"/>
        <w:tblInd w:w="24" w:type="dxa"/>
        <w:tblLayout w:type="fixed"/>
        <w:tblCellMar>
          <w:left w:w="0" w:type="dxa"/>
          <w:right w:w="0" w:type="dxa"/>
        </w:tblCellMar>
        <w:tblLook w:val="0000" w:firstRow="0" w:lastRow="0" w:firstColumn="0" w:lastColumn="0" w:noHBand="0" w:noVBand="0"/>
      </w:tblPr>
      <w:tblGrid>
        <w:gridCol w:w="4320"/>
        <w:gridCol w:w="5760"/>
      </w:tblGrid>
      <w:tr w:rsidR="007D5238">
        <w:tc>
          <w:tcPr>
            <w:tcW w:w="4320" w:type="dxa"/>
            <w:tcBorders>
              <w:top w:val="single" w:sz="4" w:space="0" w:color="777777"/>
              <w:left w:val="nil"/>
              <w:bottom w:val="nil"/>
              <w:right w:val="nil"/>
            </w:tcBorders>
            <w:tcMar>
              <w:top w:w="100" w:type="dxa"/>
              <w:left w:w="24" w:type="dxa"/>
              <w:right w:w="24" w:type="dxa"/>
            </w:tcMar>
          </w:tcPr>
          <w:p w:rsidR="007D5238" w:rsidRDefault="004B3836">
            <w:pPr>
              <w:widowControl w:val="0"/>
              <w:autoSpaceDE w:val="0"/>
              <w:autoSpaceDN w:val="0"/>
              <w:adjustRightInd w:val="0"/>
              <w:spacing w:after="0" w:line="240" w:lineRule="auto"/>
              <w:ind w:left="24" w:right="24"/>
              <w:rPr>
                <w:rFonts w:ascii="sans-serif" w:hAnsi="sans-serif" w:cs="sans-serif"/>
                <w:b/>
                <w:bCs/>
                <w:color w:val="777777"/>
                <w:sz w:val="16"/>
                <w:szCs w:val="16"/>
              </w:rPr>
            </w:pPr>
            <w:r>
              <w:rPr>
                <w:rFonts w:ascii="sans-serif" w:hAnsi="sans-serif" w:cs="sans-serif"/>
                <w:b/>
                <w:bCs/>
                <w:color w:val="777777"/>
                <w:sz w:val="16"/>
                <w:szCs w:val="16"/>
              </w:rPr>
              <w:lastRenderedPageBreak/>
              <w:t>End of Document</w:t>
            </w:r>
          </w:p>
          <w:p w:rsidR="007D5238" w:rsidRDefault="007D5238">
            <w:pPr>
              <w:widowControl w:val="0"/>
              <w:autoSpaceDE w:val="0"/>
              <w:autoSpaceDN w:val="0"/>
              <w:adjustRightInd w:val="0"/>
              <w:spacing w:after="0" w:line="240" w:lineRule="auto"/>
              <w:ind w:left="24" w:right="24"/>
              <w:rPr>
                <w:rFonts w:ascii="sans-serif" w:hAnsi="sans-serif" w:cs="sans-serif"/>
                <w:b/>
                <w:bCs/>
                <w:color w:val="777777"/>
                <w:sz w:val="16"/>
                <w:szCs w:val="16"/>
              </w:rPr>
            </w:pPr>
          </w:p>
        </w:tc>
        <w:tc>
          <w:tcPr>
            <w:tcW w:w="5760" w:type="dxa"/>
            <w:tcBorders>
              <w:top w:val="single" w:sz="4" w:space="0" w:color="777777"/>
              <w:left w:val="nil"/>
              <w:bottom w:val="nil"/>
              <w:right w:val="nil"/>
            </w:tcBorders>
            <w:tcMar>
              <w:top w:w="100" w:type="dxa"/>
              <w:left w:w="24" w:type="dxa"/>
              <w:right w:w="24" w:type="dxa"/>
            </w:tcMar>
          </w:tcPr>
          <w:p w:rsidR="007D5238" w:rsidRDefault="004B3836">
            <w:pPr>
              <w:widowControl w:val="0"/>
              <w:autoSpaceDE w:val="0"/>
              <w:autoSpaceDN w:val="0"/>
              <w:adjustRightInd w:val="0"/>
              <w:spacing w:after="0" w:line="240" w:lineRule="auto"/>
              <w:ind w:left="24" w:right="24"/>
              <w:jc w:val="right"/>
              <w:rPr>
                <w:rFonts w:ascii="sans-serif" w:hAnsi="sans-serif" w:cs="sans-serif"/>
                <w:color w:val="777777"/>
                <w:sz w:val="16"/>
                <w:szCs w:val="16"/>
              </w:rPr>
            </w:pPr>
            <w:r>
              <w:rPr>
                <w:rFonts w:ascii="sans-serif" w:hAnsi="sans-serif" w:cs="sans-serif"/>
                <w:color w:val="777777"/>
                <w:sz w:val="16"/>
                <w:szCs w:val="16"/>
              </w:rPr>
              <w:t>© 2015 Thomson Reuters. No claim to original U.S. Government Works.</w:t>
            </w:r>
          </w:p>
          <w:p w:rsidR="007D5238" w:rsidRDefault="007D5238">
            <w:pPr>
              <w:widowControl w:val="0"/>
              <w:autoSpaceDE w:val="0"/>
              <w:autoSpaceDN w:val="0"/>
              <w:adjustRightInd w:val="0"/>
              <w:spacing w:after="0" w:line="240" w:lineRule="auto"/>
              <w:ind w:left="24" w:right="24"/>
              <w:jc w:val="right"/>
              <w:rPr>
                <w:rFonts w:ascii="sans-serif" w:hAnsi="sans-serif" w:cs="sans-serif"/>
                <w:color w:val="777777"/>
                <w:sz w:val="16"/>
                <w:szCs w:val="16"/>
              </w:rPr>
            </w:pPr>
          </w:p>
        </w:tc>
      </w:tr>
    </w:tbl>
    <w:p w:rsidR="007D5238" w:rsidRDefault="007D5238">
      <w:pPr>
        <w:widowControl w:val="0"/>
        <w:autoSpaceDE w:val="0"/>
        <w:autoSpaceDN w:val="0"/>
        <w:adjustRightInd w:val="0"/>
        <w:spacing w:after="0" w:line="240" w:lineRule="auto"/>
        <w:rPr>
          <w:rFonts w:ascii="Arial" w:hAnsi="Arial" w:cs="Arial"/>
          <w:sz w:val="24"/>
          <w:szCs w:val="24"/>
        </w:rPr>
      </w:pPr>
    </w:p>
    <w:p w:rsidR="007D5238" w:rsidRDefault="007D5238">
      <w:pPr>
        <w:widowControl w:val="0"/>
        <w:autoSpaceDE w:val="0"/>
        <w:autoSpaceDN w:val="0"/>
        <w:adjustRightInd w:val="0"/>
        <w:spacing w:after="0" w:line="240" w:lineRule="auto"/>
        <w:rPr>
          <w:rFonts w:ascii="Times New Roman" w:hAnsi="Times New Roman" w:cs="Times New Roman"/>
          <w:sz w:val="24"/>
          <w:szCs w:val="24"/>
        </w:rPr>
      </w:pPr>
    </w:p>
    <w:p w:rsidR="007D5238" w:rsidRDefault="007D5238">
      <w:pPr>
        <w:widowControl w:val="0"/>
        <w:autoSpaceDE w:val="0"/>
        <w:autoSpaceDN w:val="0"/>
        <w:adjustRightInd w:val="0"/>
        <w:spacing w:after="0" w:line="240" w:lineRule="auto"/>
        <w:rPr>
          <w:rFonts w:ascii="Arial" w:hAnsi="Arial" w:cs="Arial"/>
          <w:sz w:val="24"/>
          <w:szCs w:val="24"/>
        </w:rPr>
        <w:sectPr w:rsidR="007D5238">
          <w:type w:val="continuous"/>
          <w:pgSz w:w="12240" w:h="15840"/>
          <w:pgMar w:top="1080" w:right="1080" w:bottom="1080" w:left="1080" w:header="720" w:footer="720" w:gutter="0"/>
          <w:cols w:space="720"/>
          <w:noEndnote/>
        </w:sectPr>
      </w:pPr>
    </w:p>
    <w:p w:rsidR="007D5238" w:rsidRDefault="007D5238">
      <w:pPr>
        <w:widowControl w:val="0"/>
        <w:autoSpaceDE w:val="0"/>
        <w:autoSpaceDN w:val="0"/>
        <w:adjustRightInd w:val="0"/>
        <w:spacing w:after="0" w:line="240" w:lineRule="auto"/>
        <w:rPr>
          <w:rFonts w:ascii="Arial" w:hAnsi="Arial" w:cs="Arial"/>
          <w:sz w:val="24"/>
          <w:szCs w:val="24"/>
        </w:rPr>
      </w:pPr>
    </w:p>
    <w:sectPr w:rsidR="007D5238">
      <w:type w:val="continuous"/>
      <w:pgSz w:w="12240" w:h="15840"/>
      <w:pgMar w:top="1080" w:right="1080" w:bottom="1080" w:left="1080" w:header="720" w:footer="720" w:gutter="0"/>
      <w:cols w:num="2"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238" w:rsidRDefault="004B3836">
      <w:pPr>
        <w:spacing w:after="0" w:line="240" w:lineRule="auto"/>
      </w:pPr>
      <w:r>
        <w:separator/>
      </w:r>
    </w:p>
  </w:endnote>
  <w:endnote w:type="continuationSeparator" w:id="0">
    <w:p w:rsidR="007D5238" w:rsidRDefault="004B3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ans-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9300"/>
      <w:gridCol w:w="700"/>
    </w:tblGrid>
    <w:tr w:rsidR="007D5238">
      <w:tc>
        <w:tcPr>
          <w:tcW w:w="9300" w:type="dxa"/>
          <w:tcBorders>
            <w:top w:val="single" w:sz="8" w:space="0" w:color="AAAAAA"/>
            <w:left w:val="nil"/>
            <w:bottom w:val="nil"/>
            <w:right w:val="nil"/>
          </w:tcBorders>
          <w:tcMar>
            <w:top w:w="60" w:type="dxa"/>
          </w:tcMar>
          <w:vAlign w:val="bottom"/>
        </w:tcPr>
        <w:p w:rsidR="007D5238" w:rsidRDefault="004B3836">
          <w:pPr>
            <w:widowControl w:val="0"/>
            <w:autoSpaceDE w:val="0"/>
            <w:autoSpaceDN w:val="0"/>
            <w:adjustRightInd w:val="0"/>
            <w:spacing w:after="0" w:line="240" w:lineRule="auto"/>
            <w:rPr>
              <w:rFonts w:ascii="Arial" w:hAnsi="Arial" w:cs="Arial"/>
              <w:color w:val="AAAAAA"/>
              <w:sz w:val="20"/>
              <w:szCs w:val="20"/>
            </w:rPr>
          </w:pPr>
          <w:r>
            <w:rPr>
              <w:rFonts w:ascii="Arial" w:hAnsi="Arial" w:cs="Arial"/>
              <w:noProof/>
              <w:color w:val="AAAAAA"/>
              <w:sz w:val="20"/>
              <w:szCs w:val="20"/>
            </w:rPr>
            <w:drawing>
              <wp:inline distT="0" distB="0" distL="0" distR="0">
                <wp:extent cx="746760" cy="99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99060"/>
                        </a:xfrm>
                        <a:prstGeom prst="rect">
                          <a:avLst/>
                        </a:prstGeom>
                        <a:noFill/>
                        <a:ln>
                          <a:noFill/>
                        </a:ln>
                      </pic:spPr>
                    </pic:pic>
                  </a:graphicData>
                </a:graphic>
              </wp:inline>
            </w:drawing>
          </w:r>
          <w:r>
            <w:rPr>
              <w:rFonts w:ascii="Arial" w:hAnsi="Arial" w:cs="Arial"/>
              <w:color w:val="AAAAAA"/>
              <w:sz w:val="20"/>
              <w:szCs w:val="20"/>
            </w:rPr>
            <w:t xml:space="preserve"> © 2015 Thomson Reuters. No claim to original U.S. Government Works.</w:t>
          </w:r>
        </w:p>
      </w:tc>
      <w:tc>
        <w:tcPr>
          <w:tcW w:w="700" w:type="dxa"/>
          <w:tcBorders>
            <w:top w:val="single" w:sz="8" w:space="0" w:color="AAAAAA"/>
            <w:left w:val="nil"/>
            <w:bottom w:val="nil"/>
            <w:right w:val="nil"/>
          </w:tcBorders>
          <w:tcMar>
            <w:top w:w="60" w:type="dxa"/>
          </w:tcMar>
        </w:tcPr>
        <w:p w:rsidR="007D5238" w:rsidRDefault="004B3836">
          <w:pPr>
            <w:widowControl w:val="0"/>
            <w:autoSpaceDE w:val="0"/>
            <w:autoSpaceDN w:val="0"/>
            <w:adjustRightInd w:val="0"/>
            <w:spacing w:after="0" w:line="240" w:lineRule="auto"/>
            <w:jc w:val="right"/>
            <w:rPr>
              <w:rFonts w:ascii="Arial" w:hAnsi="Arial" w:cs="Arial"/>
              <w:color w:val="AAAAAA"/>
              <w:sz w:val="20"/>
              <w:szCs w:val="20"/>
            </w:rPr>
          </w:pPr>
          <w:r>
            <w:rPr>
              <w:rFonts w:ascii="Arial" w:hAnsi="Arial" w:cs="Arial"/>
              <w:color w:val="AAAAAA"/>
              <w:sz w:val="20"/>
              <w:szCs w:val="20"/>
            </w:rPr>
            <w:pgNum/>
          </w:r>
        </w:p>
      </w:tc>
    </w:tr>
  </w:tbl>
  <w:p w:rsidR="007D5238" w:rsidRDefault="007D5238">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238" w:rsidRDefault="004B3836">
      <w:pPr>
        <w:spacing w:after="0" w:line="240" w:lineRule="auto"/>
      </w:pPr>
      <w:r>
        <w:separator/>
      </w:r>
    </w:p>
  </w:footnote>
  <w:footnote w:type="continuationSeparator" w:id="0">
    <w:p w:rsidR="007D5238" w:rsidRDefault="004B38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9380"/>
      <w:gridCol w:w="700"/>
    </w:tblGrid>
    <w:tr w:rsidR="007D5238">
      <w:tc>
        <w:tcPr>
          <w:tcW w:w="9380" w:type="dxa"/>
          <w:tcBorders>
            <w:top w:val="nil"/>
            <w:left w:val="nil"/>
            <w:bottom w:val="single" w:sz="8" w:space="0" w:color="AAAAAA"/>
            <w:right w:val="nil"/>
          </w:tcBorders>
          <w:tcMar>
            <w:top w:w="400" w:type="dxa"/>
            <w:bottom w:w="60" w:type="dxa"/>
          </w:tcMar>
          <w:vAlign w:val="bottom"/>
        </w:tcPr>
        <w:p w:rsidR="007D5238" w:rsidRDefault="004B3836">
          <w:pPr>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555555"/>
              <w:sz w:val="18"/>
              <w:szCs w:val="18"/>
            </w:rPr>
            <w:t>Rodriguez v. Sony Computer Entertainment America, LLC, --- F.3d ---- (2015)</w:t>
          </w:r>
        </w:p>
      </w:tc>
      <w:tc>
        <w:tcPr>
          <w:tcW w:w="700" w:type="dxa"/>
          <w:tcBorders>
            <w:top w:val="nil"/>
            <w:left w:val="nil"/>
            <w:bottom w:val="single" w:sz="8" w:space="0" w:color="AAAAAA"/>
            <w:right w:val="nil"/>
          </w:tcBorders>
          <w:tcMar>
            <w:top w:w="400" w:type="dxa"/>
            <w:bottom w:w="60" w:type="dxa"/>
          </w:tcMar>
        </w:tcPr>
        <w:p w:rsidR="007D5238" w:rsidRDefault="007D5238">
          <w:pPr>
            <w:widowControl w:val="0"/>
            <w:autoSpaceDE w:val="0"/>
            <w:autoSpaceDN w:val="0"/>
            <w:adjustRightInd w:val="0"/>
            <w:spacing w:after="0" w:line="240" w:lineRule="auto"/>
            <w:jc w:val="right"/>
            <w:rPr>
              <w:rFonts w:ascii="Arial" w:hAnsi="Arial" w:cs="Arial"/>
              <w:color w:val="000000"/>
              <w:sz w:val="18"/>
              <w:szCs w:val="18"/>
            </w:rPr>
          </w:pPr>
        </w:p>
      </w:tc>
    </w:tr>
    <w:tr w:rsidR="007D5238">
      <w:tc>
        <w:tcPr>
          <w:tcW w:w="10080" w:type="dxa"/>
          <w:gridSpan w:val="2"/>
          <w:tcBorders>
            <w:top w:val="nil"/>
            <w:left w:val="nil"/>
            <w:bottom w:val="nil"/>
            <w:right w:val="nil"/>
          </w:tcBorders>
        </w:tcPr>
        <w:p w:rsidR="007D5238" w:rsidRDefault="004B3836">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15 Cal. Daily Op. Serv. 10,045, 2015 Daily Journal D.A.R. 10,318</w:t>
          </w:r>
        </w:p>
      </w:tc>
    </w:tr>
  </w:tbl>
  <w:p w:rsidR="007D5238" w:rsidRDefault="007D5238">
    <w:pPr>
      <w:widowControl w:val="0"/>
      <w:autoSpaceDE w:val="0"/>
      <w:autoSpaceDN w:val="0"/>
      <w:adjustRightInd w:val="0"/>
      <w:spacing w:after="0" w:line="240" w:lineRule="auto"/>
      <w:rPr>
        <w:rFonts w:ascii="Arial" w:hAnsi="Arial" w:cs="Arial"/>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836"/>
    <w:rsid w:val="004B3836"/>
    <w:rsid w:val="00776BCA"/>
    <w:rsid w:val="007D5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BCA"/>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776BCA"/>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BCA"/>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776BCA"/>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westlaw.com/Link/Document/FullText?findType=h&amp;pubNum=176284&amp;cite=0152875401&amp;originatingDoc=Ia298e997530511e5b4bafa136b480ad2&amp;refType=RQ&amp;originationContext=document&amp;vr=3.0&amp;rs=cblt1.0&amp;transitionType=DocumentItem&amp;contextData=(sc.Default)" TargetMode="External"/><Relationship Id="rId18" Type="http://schemas.openxmlformats.org/officeDocument/2006/relationships/hyperlink" Target="http://www.westlaw.com/Link/Document/FullText?findType=h&amp;pubNum=176284&amp;cite=0136943901&amp;originatingDoc=Ia298e997530511e5b4bafa136b480ad2&amp;refType=RQ&amp;originationContext=document&amp;vr=3.0&amp;rs=cblt1.0&amp;transitionType=DocumentItem&amp;contextData=(sc.Default)" TargetMode="External"/><Relationship Id="rId26" Type="http://schemas.openxmlformats.org/officeDocument/2006/relationships/hyperlink" Target="http://www.westlaw.com/Link/Document/FullText?findType=L&amp;pubNum=1000546&amp;cite=18USCAS2710&amp;originatingDoc=Ia298e997530511e5b4bafa136b480ad2&amp;refType=RB&amp;originationContext=document&amp;vr=3.0&amp;rs=cblt1.0&amp;transitionType=DocumentItem&amp;contextData=(sc.Default)" TargetMode="External"/><Relationship Id="rId39" Type="http://schemas.openxmlformats.org/officeDocument/2006/relationships/hyperlink" Target="http://www.westlaw.com/Link/Document/FullText?findType=L&amp;pubNum=1000546&amp;cite=18USCAS2710&amp;originatingDoc=Ia298e997530511e5b4bafa136b480ad2&amp;refType=RB&amp;originationContext=document&amp;vr=3.0&amp;rs=cblt1.0&amp;transitionType=DocumentItem&amp;contextData=(sc.Default)" TargetMode="External"/><Relationship Id="rId21" Type="http://schemas.openxmlformats.org/officeDocument/2006/relationships/hyperlink" Target="http://www.westlaw.com/Link/Document/FullText?findType=h&amp;pubNum=176284&amp;cite=0189701501&amp;originatingDoc=Ia298e997530511e5b4bafa136b480ad2&amp;refType=RQ&amp;originationContext=document&amp;vr=3.0&amp;rs=cblt1.0&amp;transitionType=DocumentItem&amp;contextData=(sc.Default)" TargetMode="External"/><Relationship Id="rId34" Type="http://schemas.openxmlformats.org/officeDocument/2006/relationships/hyperlink" Target="http://www.westlaw.com/Link/Document/FullText?findType=Y&amp;serNum=2034077604&amp;pubNum=0000506&amp;originatingDoc=Ia298e997530511e5b4bafa136b480ad2&amp;refType=RP&amp;fi=co_pp_sp_506_1000&amp;originationContext=document&amp;vr=3.0&amp;rs=cblt1.0&amp;transitionType=DocumentItem&amp;contextData=(sc.Default)" TargetMode="External"/><Relationship Id="rId42" Type="http://schemas.openxmlformats.org/officeDocument/2006/relationships/hyperlink" Target="http://www.westlaw.com/Link/Document/FullText?findType=L&amp;pubNum=1000546&amp;cite=18USCAS2710&amp;originatingDoc=Ia298e997530511e5b4bafa136b480ad2&amp;refType=RB&amp;originationContext=document&amp;vr=3.0&amp;rs=cblt1.0&amp;transitionType=DocumentItem&amp;contextData=(sc.Default)" TargetMode="External"/><Relationship Id="rId47" Type="http://schemas.openxmlformats.org/officeDocument/2006/relationships/hyperlink" Target="http://www.westlaw.com/Link/Document/FullText?findType=Y&amp;serNum=2030995152&amp;pubNum=0000506&amp;originatingDoc=Ia298e997530511e5b4bafa136b480ad2&amp;refType=RP&amp;fi=co_pp_sp_506_1171&amp;originationContext=document&amp;vr=3.0&amp;rs=cblt1.0&amp;transitionType=DocumentItem&amp;contextData=(sc.Default)" TargetMode="External"/><Relationship Id="rId50" Type="http://schemas.openxmlformats.org/officeDocument/2006/relationships/hyperlink" Target="http://www.westlaw.com/Link/Document/FullText?findType=Y&amp;serNum=2004671545&amp;pubNum=0000506&amp;originatingDoc=Ia298e997530511e5b4bafa136b480ad2&amp;refType=RP&amp;fi=co_pp_sp_506_379&amp;originationContext=document&amp;vr=3.0&amp;rs=cblt1.0&amp;transitionType=DocumentItem&amp;contextData=(sc.Default)" TargetMode="External"/><Relationship Id="rId55" Type="http://schemas.openxmlformats.org/officeDocument/2006/relationships/hyperlink" Target="http://www.westlaw.com/Link/Document/FullText?findType=Y&amp;serNum=0368608565&amp;pubNum=0100014&amp;originatingDoc=Ia298e997530511e5b4bafa136b480ad2&amp;refType=TV&amp;originationContext=document&amp;vr=3.0&amp;rs=cblt1.0&amp;transitionType=DocumentItem&amp;contextData=(sc.Default)" TargetMode="External"/><Relationship Id="rId63" Type="http://schemas.openxmlformats.org/officeDocument/2006/relationships/hyperlink" Target="http://www.westlaw.com/Link/Document/FullText?findType=Y&amp;serNum=2024420910&amp;pubNum=0000506&amp;originatingDoc=Ia298e997530511e5b4bafa136b480ad2&amp;refType=RP&amp;fi=co_pp_sp_506_1121&amp;originationContext=document&amp;vr=3.0&amp;rs=cblt1.0&amp;transitionType=DocumentItem&amp;contextData=(sc.Default)" TargetMode="External"/><Relationship Id="rId68" Type="http://schemas.openxmlformats.org/officeDocument/2006/relationships/hyperlink" Target="http://www.westlaw.com/Link/Document/FullText?findType=Y&amp;serNum=2034981703&amp;pubNum=0000506&amp;originatingDoc=Ia298e997530511e5b4bafa136b480ad2&amp;refType=RP&amp;fi=co_pp_sp_506_551&amp;originationContext=document&amp;vr=3.0&amp;rs=cblt1.0&amp;transitionType=DocumentItem&amp;contextData=(sc.Default)" TargetMode="External"/><Relationship Id="rId76" Type="http://schemas.openxmlformats.org/officeDocument/2006/relationships/hyperlink" Target="http://www.westlaw.com/Link/Document/FullText?findType=L&amp;pubNum=1000546&amp;cite=18USCAS2710&amp;originatingDoc=Ia298e997530511e5b4bafa136b480ad2&amp;refType=RB&amp;originationContext=document&amp;vr=3.0&amp;rs=cblt1.0&amp;transitionType=DocumentItem&amp;contextData=(sc.Default)" TargetMode="External"/><Relationship Id="rId84" Type="http://schemas.openxmlformats.org/officeDocument/2006/relationships/hyperlink" Target="http://www.westlaw.com/Link/Document/FullText?findType=Y&amp;serNum=2026232948&amp;pubNum=0000506&amp;originatingDoc=Ia298e997530511e5b4bafa136b480ad2&amp;refType=RP&amp;originationContext=document&amp;vr=3.0&amp;rs=cblt1.0&amp;transitionType=DocumentItem&amp;contextData=(sc.Default)" TargetMode="External"/><Relationship Id="rId89" Type="http://schemas.openxmlformats.org/officeDocument/2006/relationships/hyperlink" Target="http://www.westlaw.com/Link/Document/FullText?findType=Y&amp;serNum=1994086670&amp;pubNum=0000708&amp;originatingDoc=Ia298e997530511e5b4bafa136b480ad2&amp;refType=RP&amp;originationContext=document&amp;vr=3.0&amp;rs=cblt1.0&amp;transitionType=DocumentItem&amp;contextData=(sc.Default)" TargetMode="External"/><Relationship Id="rId7" Type="http://schemas.openxmlformats.org/officeDocument/2006/relationships/header" Target="header1.xml"/><Relationship Id="rId71" Type="http://schemas.openxmlformats.org/officeDocument/2006/relationships/hyperlink" Target="http://www.westlaw.com/Link/Document/FullText?findType=Y&amp;serNum=2034663135&amp;pubNum=0000506&amp;originatingDoc=Ia298e997530511e5b4bafa136b480ad2&amp;refType=RP&amp;fi=co_pp_sp_506_627&amp;originationContext=document&amp;vr=3.0&amp;rs=cblt1.0&amp;transitionType=DocumentItem&amp;contextData=(sc.Default)" TargetMode="External"/><Relationship Id="rId92" Type="http://schemas.openxmlformats.org/officeDocument/2006/relationships/hyperlink" Target="http://www.westlaw.com/Link/Document/FullText?findType=Y&amp;serNum=2026993316&amp;pubNum=0000506&amp;originatingDoc=Ia298e997530511e5b4bafa136b480ad2&amp;refType=RP&amp;fi=co_pp_sp_506_849&amp;originationContext=document&amp;vr=3.0&amp;rs=cblt1.0&amp;transitionType=DocumentItem&amp;contextData=(sc.Default)" TargetMode="External"/><Relationship Id="rId2" Type="http://schemas.microsoft.com/office/2007/relationships/stylesWithEffects" Target="stylesWithEffects.xml"/><Relationship Id="rId16" Type="http://schemas.openxmlformats.org/officeDocument/2006/relationships/hyperlink" Target="http://www.westlaw.com/Link/Document/FullText?findType=h&amp;pubNum=176284&amp;cite=0321134701&amp;originatingDoc=Ia298e997530511e5b4bafa136b480ad2&amp;refType=RQ&amp;originationContext=document&amp;vr=3.0&amp;rs=cblt1.0&amp;transitionType=DocumentItem&amp;contextData=(sc.Default)" TargetMode="External"/><Relationship Id="rId29" Type="http://schemas.openxmlformats.org/officeDocument/2006/relationships/hyperlink" Target="http://www.westlaw.com/Link/Document/FullText?findType=L&amp;pubNum=1000546&amp;cite=18USCAS2710&amp;originatingDoc=Ia298e997530511e5b4bafa136b480ad2&amp;refType=RB&amp;originationContext=document&amp;vr=3.0&amp;rs=cblt1.0&amp;transitionType=DocumentItem&amp;contextData=(sc.Default)" TargetMode="External"/><Relationship Id="rId11" Type="http://schemas.openxmlformats.org/officeDocument/2006/relationships/hyperlink" Target="http://www.westlaw.com/Link/Document/FullText?findType=h&amp;pubNum=176284&amp;cite=0189701501&amp;originatingDoc=Ia298e997530511e5b4bafa136b480ad2&amp;refType=RQ&amp;originationContext=document&amp;vr=3.0&amp;rs=cblt1.0&amp;transitionType=DocumentItem&amp;contextData=(sc.Default)" TargetMode="External"/><Relationship Id="rId24" Type="http://schemas.openxmlformats.org/officeDocument/2006/relationships/hyperlink" Target="http://www.westlaw.com/Link/Document/FullText?findType=L&amp;pubNum=1000546&amp;cite=18USCAS2710&amp;originatingDoc=Ia298e997530511e5b4bafa136b480ad2&amp;refType=RB&amp;originationContext=document&amp;vr=3.0&amp;rs=cblt1.0&amp;transitionType=DocumentItem&amp;contextData=(sc.Default)" TargetMode="External"/><Relationship Id="rId32" Type="http://schemas.openxmlformats.org/officeDocument/2006/relationships/hyperlink" Target="http://www.westlaw.com/Link/Document/FullText?findType=L&amp;pubNum=1000600&amp;cite=USFRCPR12&amp;originatingDoc=Ia298e997530511e5b4bafa136b480ad2&amp;refType=LQ&amp;originationContext=document&amp;vr=3.0&amp;rs=cblt1.0&amp;transitionType=DocumentItem&amp;contextData=(sc.Default)" TargetMode="External"/><Relationship Id="rId37" Type="http://schemas.openxmlformats.org/officeDocument/2006/relationships/hyperlink" Target="http://www.westlaw.com/Link/Document/FullText?findType=L&amp;pubNum=1000546&amp;cite=18USCAS2710&amp;originatingDoc=Ia298e997530511e5b4bafa136b480ad2&amp;refType=LQ&amp;originationContext=document&amp;vr=3.0&amp;rs=cblt1.0&amp;transitionType=DocumentItem&amp;contextData=(sc.Default)" TargetMode="External"/><Relationship Id="rId40" Type="http://schemas.openxmlformats.org/officeDocument/2006/relationships/hyperlink" Target="http://www.westlaw.com/Link/Document/FullText?findType=L&amp;pubNum=1000546&amp;cite=18USCAS2710&amp;originatingDoc=Ia298e997530511e5b4bafa136b480ad2&amp;refType=RB&amp;originationContext=document&amp;vr=3.0&amp;rs=cblt1.0&amp;transitionType=DocumentItem&amp;contextData=(sc.Default)" TargetMode="External"/><Relationship Id="rId45" Type="http://schemas.openxmlformats.org/officeDocument/2006/relationships/hyperlink" Target="http://www.westlaw.com/Link/Document/FullText?findType=L&amp;pubNum=1000546&amp;cite=18USCAS2710&amp;originatingDoc=Ia298e997530511e5b4bafa136b480ad2&amp;refType=RB&amp;originationContext=document&amp;vr=3.0&amp;rs=cblt1.0&amp;transitionType=DocumentItem&amp;contextData=(sc.Default)" TargetMode="External"/><Relationship Id="rId53" Type="http://schemas.openxmlformats.org/officeDocument/2006/relationships/hyperlink" Target="http://www.westlaw.com/Link/Document/FullText?findType=L&amp;pubNum=1000546&amp;cite=18USCAS2710&amp;originatingDoc=Ia298e997530511e5b4bafa136b480ad2&amp;refType=RB&amp;originationContext=document&amp;vr=3.0&amp;rs=cblt1.0&amp;transitionType=DocumentItem&amp;contextData=(sc.Default)" TargetMode="External"/><Relationship Id="rId58" Type="http://schemas.openxmlformats.org/officeDocument/2006/relationships/hyperlink" Target="http://www.westlaw.com/Link/Document/FullText?findType=L&amp;pubNum=1000546&amp;cite=18USCAS2710&amp;originatingDoc=Ia298e997530511e5b4bafa136b480ad2&amp;refType=RB&amp;originationContext=document&amp;vr=3.0&amp;rs=cblt1.0&amp;transitionType=DocumentItem&amp;contextData=(sc.Default)" TargetMode="External"/><Relationship Id="rId66" Type="http://schemas.openxmlformats.org/officeDocument/2006/relationships/hyperlink" Target="http://www.westlaw.com/Link/Document/FullText?findType=L&amp;pubNum=1000546&amp;cite=18USCAS2710&amp;originatingDoc=Ia298e997530511e5b4bafa136b480ad2&amp;refType=RB&amp;originationContext=document&amp;vr=3.0&amp;rs=cblt1.0&amp;transitionType=DocumentItem&amp;contextData=(sc.Default)" TargetMode="External"/><Relationship Id="rId74" Type="http://schemas.openxmlformats.org/officeDocument/2006/relationships/hyperlink" Target="http://www.westlaw.com/Link/Document/FullText?findType=L&amp;pubNum=1000546&amp;cite=18USCAS2710&amp;originatingDoc=Ia298e997530511e5b4bafa136b480ad2&amp;refType=RB&amp;originationContext=document&amp;vr=3.0&amp;rs=cblt1.0&amp;transitionType=DocumentItem&amp;contextData=(sc.Default)" TargetMode="External"/><Relationship Id="rId79" Type="http://schemas.openxmlformats.org/officeDocument/2006/relationships/hyperlink" Target="http://www.westlaw.com/Link/Document/FullText?findType=L&amp;pubNum=1000546&amp;cite=18USCAS2710&amp;originatingDoc=Ia298e997530511e5b4bafa136b480ad2&amp;refType=RB&amp;originationContext=document&amp;vr=3.0&amp;rs=cblt1.0&amp;transitionType=DocumentItem&amp;contextData=(sc.Default)" TargetMode="External"/><Relationship Id="rId87" Type="http://schemas.openxmlformats.org/officeDocument/2006/relationships/hyperlink" Target="http://www.westlaw.com/Link/Document/FullText?findType=Y&amp;serNum=1994086670&amp;pubNum=0000708&amp;originatingDoc=Ia298e997530511e5b4bafa136b480ad2&amp;refType=RP&amp;originationContext=document&amp;vr=3.0&amp;rs=cblt1.0&amp;transitionType=DocumentItem&amp;contextData=(sc.Default)" TargetMode="External"/><Relationship Id="rId5" Type="http://schemas.openxmlformats.org/officeDocument/2006/relationships/footnotes" Target="footnotes.xml"/><Relationship Id="rId61" Type="http://schemas.openxmlformats.org/officeDocument/2006/relationships/hyperlink" Target="http://www.westlaw.com/Link/Document/FullText?findType=L&amp;pubNum=1000546&amp;cite=18USCAS2710&amp;originatingDoc=Ia298e997530511e5b4bafa136b480ad2&amp;refType=LQ&amp;originationContext=document&amp;vr=3.0&amp;rs=cblt1.0&amp;transitionType=DocumentItem&amp;contextData=(sc.Default)" TargetMode="External"/><Relationship Id="rId82" Type="http://schemas.openxmlformats.org/officeDocument/2006/relationships/hyperlink" Target="http://www.westlaw.com/Link/Document/FullText?findType=L&amp;pubNum=1000546&amp;cite=18USCAS2710&amp;originatingDoc=Ia298e997530511e5b4bafa136b480ad2&amp;refType=RB&amp;originationContext=document&amp;vr=3.0&amp;rs=cblt1.0&amp;transitionType=DocumentItem&amp;contextData=(sc.Default)" TargetMode="External"/><Relationship Id="rId90" Type="http://schemas.openxmlformats.org/officeDocument/2006/relationships/hyperlink" Target="http://www.westlaw.com/Link/Document/FullText?findType=Y&amp;serNum=1994086670&amp;pubNum=0000708&amp;originatingDoc=Ia298e997530511e5b4bafa136b480ad2&amp;refType=RP&amp;originationContext=document&amp;vr=3.0&amp;rs=cblt1.0&amp;transitionType=DocumentItem&amp;contextData=(sc.Default)" TargetMode="External"/><Relationship Id="rId19" Type="http://schemas.openxmlformats.org/officeDocument/2006/relationships/hyperlink" Target="http://www.westlaw.com/Link/Document/FullText?findType=h&amp;pubNum=176284&amp;cite=0220141401&amp;originatingDoc=Ia298e997530511e5b4bafa136b480ad2&amp;refType=RQ&amp;originationContext=document&amp;vr=3.0&amp;rs=cblt1.0&amp;transitionType=DocumentItem&amp;contextData=(sc.Default)" TargetMode="External"/><Relationship Id="rId14" Type="http://schemas.openxmlformats.org/officeDocument/2006/relationships/hyperlink" Target="http://www.westlaw.com/Link/Document/FullText?findType=h&amp;pubNum=176284&amp;cite=0155673501&amp;originatingDoc=Ia298e997530511e5b4bafa136b480ad2&amp;refType=RQ&amp;originationContext=document&amp;vr=3.0&amp;rs=cblt1.0&amp;transitionType=DocumentItem&amp;contextData=(sc.Default)" TargetMode="External"/><Relationship Id="rId22" Type="http://schemas.openxmlformats.org/officeDocument/2006/relationships/hyperlink" Target="http://www.westlaw.com/Link/Document/FullText?findType=Y&amp;serNum=2036802865&amp;pubNum=0000506&amp;originatingDoc=Ia298e997530511e5b4bafa136b480ad2&amp;refType=RP&amp;fi=co_pp_sp_506_1065&amp;originationContext=document&amp;vr=3.0&amp;rs=cblt1.0&amp;transitionType=DocumentItem&amp;contextData=(sc.Default)" TargetMode="External"/><Relationship Id="rId27" Type="http://schemas.openxmlformats.org/officeDocument/2006/relationships/hyperlink" Target="http://www.westlaw.com/Link/Document/FullText?findType=L&amp;pubNum=1000546&amp;cite=18USCAS2710&amp;originatingDoc=Ia298e997530511e5b4bafa136b480ad2&amp;refType=RB&amp;originationContext=document&amp;vr=3.0&amp;rs=cblt1.0&amp;transitionType=DocumentItem&amp;contextData=(sc.Default)" TargetMode="External"/><Relationship Id="rId30" Type="http://schemas.openxmlformats.org/officeDocument/2006/relationships/hyperlink" Target="http://www.westlaw.com/Link/Document/FullText?findType=L&amp;pubNum=1000546&amp;cite=18USCAS2710&amp;originatingDoc=Ia298e997530511e5b4bafa136b480ad2&amp;refType=RB&amp;originationContext=document&amp;vr=3.0&amp;rs=cblt1.0&amp;transitionType=DocumentItem&amp;contextData=(sc.Default)" TargetMode="External"/><Relationship Id="rId35" Type="http://schemas.openxmlformats.org/officeDocument/2006/relationships/hyperlink" Target="http://www.westlaw.com/Link/Document/FullText?findType=L&amp;pubNum=1000546&amp;cite=18USCAS2710&amp;originatingDoc=Ia298e997530511e5b4bafa136b480ad2&amp;refType=RB&amp;originationContext=document&amp;vr=3.0&amp;rs=cblt1.0&amp;transitionType=DocumentItem&amp;contextData=(sc.Default)" TargetMode="External"/><Relationship Id="rId43" Type="http://schemas.openxmlformats.org/officeDocument/2006/relationships/hyperlink" Target="http://www.westlaw.com/Link/Document/FullText?findType=L&amp;pubNum=1000546&amp;cite=18USCAS2710&amp;originatingDoc=Ia298e997530511e5b4bafa136b480ad2&amp;refType=RB&amp;originationContext=document&amp;vr=3.0&amp;rs=cblt1.0&amp;transitionType=DocumentItem&amp;contextData=(sc.Default)" TargetMode="External"/><Relationship Id="rId48" Type="http://schemas.openxmlformats.org/officeDocument/2006/relationships/hyperlink" Target="http://www.westlaw.com/Link/Document/FullText?findType=Y&amp;serNum=2035252724&amp;pubNum=0000506&amp;originatingDoc=Ia298e997530511e5b4bafa136b480ad2&amp;refType=RP&amp;fi=co_pp_sp_506_652&amp;originationContext=document&amp;vr=3.0&amp;rs=cblt1.0&amp;transitionType=DocumentItem&amp;contextData=(sc.Default)" TargetMode="External"/><Relationship Id="rId56" Type="http://schemas.openxmlformats.org/officeDocument/2006/relationships/hyperlink" Target="http://www.westlaw.com/Link/Document/FullText?findType=L&amp;pubNum=1000546&amp;cite=18USCAS2710&amp;originatingDoc=Ia298e997530511e5b4bafa136b480ad2&amp;refType=RB&amp;originationContext=document&amp;vr=3.0&amp;rs=cblt1.0&amp;transitionType=DocumentItem&amp;contextData=(sc.Default)" TargetMode="External"/><Relationship Id="rId64" Type="http://schemas.openxmlformats.org/officeDocument/2006/relationships/hyperlink" Target="http://www.westlaw.com/Link/Document/FullText?findType=L&amp;pubNum=1000546&amp;cite=18USCAS2710&amp;originatingDoc=Ia298e997530511e5b4bafa136b480ad2&amp;refType=LQ&amp;originationContext=document&amp;vr=3.0&amp;rs=cblt1.0&amp;transitionType=DocumentItem&amp;contextData=(sc.Default)" TargetMode="External"/><Relationship Id="rId69" Type="http://schemas.openxmlformats.org/officeDocument/2006/relationships/hyperlink" Target="http://www.westlaw.com/Link/Document/FullText?findType=Y&amp;serNum=2025855685&amp;pubNum=0000506&amp;originatingDoc=Ia298e997530511e5b4bafa136b480ad2&amp;refType=RP&amp;fi=co_pp_sp_506_995&amp;originationContext=document&amp;vr=3.0&amp;rs=cblt1.0&amp;transitionType=DocumentItem&amp;contextData=(sc.Default)" TargetMode="External"/><Relationship Id="rId77" Type="http://schemas.openxmlformats.org/officeDocument/2006/relationships/hyperlink" Target="http://www.westlaw.com/Link/Document/FullText?findType=L&amp;pubNum=1000546&amp;cite=18USCAS2710&amp;originatingDoc=Ia298e997530511e5b4bafa136b480ad2&amp;refType=LQ&amp;originationContext=document&amp;vr=3.0&amp;rs=cblt1.0&amp;transitionType=DocumentItem&amp;contextData=(sc.Default)" TargetMode="External"/><Relationship Id="rId8" Type="http://schemas.openxmlformats.org/officeDocument/2006/relationships/footer" Target="footer1.xml"/><Relationship Id="rId51" Type="http://schemas.openxmlformats.org/officeDocument/2006/relationships/hyperlink" Target="http://www.westlaw.com/Link/Document/FullText?findType=Y&amp;serNum=2004671545&amp;pubNum=0000506&amp;originatingDoc=Ia298e997530511e5b4bafa136b480ad2&amp;refType=RP&amp;fi=co_pp_sp_506_384&amp;originationContext=document&amp;vr=3.0&amp;rs=cblt1.0&amp;transitionType=DocumentItem&amp;contextData=(sc.Default)" TargetMode="External"/><Relationship Id="rId72" Type="http://schemas.openxmlformats.org/officeDocument/2006/relationships/hyperlink" Target="http://www.westlaw.com/Link/Document/FullText?findType=Y&amp;serNum=2034663135&amp;pubNum=0000506&amp;originatingDoc=Ia298e997530511e5b4bafa136b480ad2&amp;refType=RP&amp;fi=co_pp_sp_506_624&amp;originationContext=document&amp;vr=3.0&amp;rs=cblt1.0&amp;transitionType=DocumentItem&amp;contextData=(sc.Default)" TargetMode="External"/><Relationship Id="rId80" Type="http://schemas.openxmlformats.org/officeDocument/2006/relationships/hyperlink" Target="http://www.westlaw.com/Link/Document/FullText?findType=L&amp;pubNum=1000546&amp;cite=18USCAS2710&amp;originatingDoc=Ia298e997530511e5b4bafa136b480ad2&amp;refType=RB&amp;originationContext=document&amp;vr=3.0&amp;rs=cblt1.0&amp;transitionType=DocumentItem&amp;contextData=(sc.Default)" TargetMode="External"/><Relationship Id="rId85" Type="http://schemas.openxmlformats.org/officeDocument/2006/relationships/hyperlink" Target="http://www.westlaw.com/Link/Document/FullText?findType=Y&amp;serNum=2026232948&amp;pubNum=0000506&amp;originatingDoc=Ia298e997530511e5b4bafa136b480ad2&amp;refType=RP&amp;fi=co_pp_sp_506_278&amp;originationContext=document&amp;vr=3.0&amp;rs=cblt1.0&amp;transitionType=DocumentItem&amp;contextData=(sc.Default)"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westlaw.com/Link/Document/FullText?findType=h&amp;pubNum=176284&amp;cite=0255230601&amp;originatingDoc=Ia298e997530511e5b4bafa136b480ad2&amp;refType=RQ&amp;originationContext=document&amp;vr=3.0&amp;rs=cblt1.0&amp;transitionType=DocumentItem&amp;contextData=(sc.Default)" TargetMode="External"/><Relationship Id="rId17" Type="http://schemas.openxmlformats.org/officeDocument/2006/relationships/hyperlink" Target="http://www.westlaw.com/Link/Document/FullText?findType=h&amp;pubNum=176284&amp;cite=0261726801&amp;originatingDoc=Ia298e997530511e5b4bafa136b480ad2&amp;refType=RQ&amp;originationContext=document&amp;vr=3.0&amp;rs=cblt1.0&amp;transitionType=DocumentItem&amp;contextData=(sc.Default)" TargetMode="External"/><Relationship Id="rId25" Type="http://schemas.openxmlformats.org/officeDocument/2006/relationships/hyperlink" Target="http://www.westlaw.com/Link/Document/FullText?findType=L&amp;pubNum=1000546&amp;cite=18USCAS2710&amp;originatingDoc=Ia298e997530511e5b4bafa136b480ad2&amp;refType=RB&amp;originationContext=document&amp;vr=3.0&amp;rs=cblt1.0&amp;transitionType=DocumentItem&amp;contextData=(sc.Default)" TargetMode="External"/><Relationship Id="rId33" Type="http://schemas.openxmlformats.org/officeDocument/2006/relationships/hyperlink" Target="http://www.westlaw.com/Link/Document/FullText?findType=Y&amp;serNum=2034999990&amp;pubNum=0000506&amp;originatingDoc=Ia298e997530511e5b4bafa136b480ad2&amp;refType=RP&amp;fi=co_pp_sp_506_603&amp;originationContext=document&amp;vr=3.0&amp;rs=cblt1.0&amp;transitionType=DocumentItem&amp;contextData=(sc.Default)" TargetMode="External"/><Relationship Id="rId38" Type="http://schemas.openxmlformats.org/officeDocument/2006/relationships/hyperlink" Target="http://www.westlaw.com/Link/Document/FullText?findType=Y&amp;serNum=2027252511&amp;pubNum=0000506&amp;originatingDoc=Ia298e997530511e5b4bafa136b480ad2&amp;refType=RP&amp;fi=co_pp_sp_506_538&amp;originationContext=document&amp;vr=3.0&amp;rs=cblt1.0&amp;transitionType=DocumentItem&amp;contextData=(sc.Default)" TargetMode="External"/><Relationship Id="rId46" Type="http://schemas.openxmlformats.org/officeDocument/2006/relationships/hyperlink" Target="http://www.westlaw.com/Link/Document/FullText?findType=L&amp;pubNum=1000546&amp;cite=18USCAS2710&amp;originatingDoc=Ia298e997530511e5b4bafa136b480ad2&amp;refType=RB&amp;originationContext=document&amp;vr=3.0&amp;rs=cblt1.0&amp;transitionType=DocumentItem&amp;contextData=(sc.Default)" TargetMode="External"/><Relationship Id="rId59" Type="http://schemas.openxmlformats.org/officeDocument/2006/relationships/hyperlink" Target="http://www.westlaw.com/Link/Document/FullText?findType=L&amp;pubNum=1000546&amp;cite=18USCAS2710&amp;originatingDoc=Ia298e997530511e5b4bafa136b480ad2&amp;refType=RB&amp;originationContext=document&amp;vr=3.0&amp;rs=cblt1.0&amp;transitionType=DocumentItem&amp;contextData=(sc.Default)" TargetMode="External"/><Relationship Id="rId67" Type="http://schemas.openxmlformats.org/officeDocument/2006/relationships/hyperlink" Target="http://www.westlaw.com/Link/Document/FullText?findType=L&amp;pubNum=1000546&amp;cite=18USCAS2710&amp;originatingDoc=Ia298e997530511e5b4bafa136b480ad2&amp;refType=RB&amp;originationContext=document&amp;vr=3.0&amp;rs=cblt1.0&amp;transitionType=DocumentItem&amp;contextData=(sc.Default)" TargetMode="External"/><Relationship Id="rId20" Type="http://schemas.openxmlformats.org/officeDocument/2006/relationships/hyperlink" Target="http://www.westlaw.com/Link/Document/FullText?findType=h&amp;pubNum=176284&amp;cite=0189701501&amp;originatingDoc=Ia298e997530511e5b4bafa136b480ad2&amp;refType=RQ&amp;originationContext=document&amp;vr=3.0&amp;rs=cblt1.0&amp;transitionType=DocumentItem&amp;contextData=(sc.Default)" TargetMode="External"/><Relationship Id="rId41" Type="http://schemas.openxmlformats.org/officeDocument/2006/relationships/hyperlink" Target="http://www.westlaw.com/Link/Document/FullText?findType=Y&amp;serNum=2004671545&amp;pubNum=0000506&amp;originatingDoc=Ia298e997530511e5b4bafa136b480ad2&amp;refType=RP&amp;fi=co_pp_sp_506_384&amp;originationContext=document&amp;vr=3.0&amp;rs=cblt1.0&amp;transitionType=DocumentItem&amp;contextData=(sc.Default)" TargetMode="External"/><Relationship Id="rId54" Type="http://schemas.openxmlformats.org/officeDocument/2006/relationships/hyperlink" Target="http://www.westlaw.com/Link/Document/FullText?findType=L&amp;pubNum=1000546&amp;cite=18USCAS2710&amp;originatingDoc=Ia298e997530511e5b4bafa136b480ad2&amp;refType=LQ&amp;originationContext=document&amp;vr=3.0&amp;rs=cblt1.0&amp;transitionType=DocumentItem&amp;contextData=(sc.Default)" TargetMode="External"/><Relationship Id="rId62" Type="http://schemas.openxmlformats.org/officeDocument/2006/relationships/hyperlink" Target="http://www.westlaw.com/Link/Document/FullText?findType=Y&amp;serNum=2027252511&amp;pubNum=0000506&amp;originatingDoc=Ia298e997530511e5b4bafa136b480ad2&amp;refType=RP&amp;fi=co_pp_sp_506_539&amp;originationContext=document&amp;vr=3.0&amp;rs=cblt1.0&amp;transitionType=DocumentItem&amp;contextData=(sc.Default)" TargetMode="External"/><Relationship Id="rId70" Type="http://schemas.openxmlformats.org/officeDocument/2006/relationships/hyperlink" Target="http://www.westlaw.com/Link/Document/FullText?findType=Y&amp;serNum=2034663135&amp;pubNum=0000506&amp;originatingDoc=Ia298e997530511e5b4bafa136b480ad2&amp;refType=RP&amp;fi=co_pp_sp_506_620&amp;originationContext=document&amp;vr=3.0&amp;rs=cblt1.0&amp;transitionType=DocumentItem&amp;contextData=(sc.Default)" TargetMode="External"/><Relationship Id="rId75" Type="http://schemas.openxmlformats.org/officeDocument/2006/relationships/hyperlink" Target="http://www.westlaw.com/Link/Document/FullText?findType=L&amp;pubNum=1000546&amp;cite=18USCAS2710&amp;originatingDoc=Ia298e997530511e5b4bafa136b480ad2&amp;refType=RB&amp;originationContext=document&amp;vr=3.0&amp;rs=cblt1.0&amp;transitionType=DocumentItem&amp;contextData=(sc.Default)" TargetMode="External"/><Relationship Id="rId83" Type="http://schemas.openxmlformats.org/officeDocument/2006/relationships/hyperlink" Target="http://www.westlaw.com/Link/Document/FullText?findType=Y&amp;serNum=2027252511&amp;pubNum=0000506&amp;originatingDoc=Ia298e997530511e5b4bafa136b480ad2&amp;refType=RP&amp;fi=co_pp_sp_506_537&amp;originationContext=document&amp;vr=3.0&amp;rs=cblt1.0&amp;transitionType=DocumentItem&amp;contextData=(sc.Default)" TargetMode="External"/><Relationship Id="rId88" Type="http://schemas.openxmlformats.org/officeDocument/2006/relationships/hyperlink" Target="http://www.westlaw.com/Link/Document/FullText?findType=L&amp;pubNum=1000546&amp;cite=18USCAS2710&amp;originatingDoc=Ia298e997530511e5b4bafa136b480ad2&amp;refType=LQ&amp;originationContext=document&amp;vr=3.0&amp;rs=cblt1.0&amp;transitionType=DocumentItem&amp;contextData=(sc.Default)" TargetMode="External"/><Relationship Id="rId91" Type="http://schemas.openxmlformats.org/officeDocument/2006/relationships/hyperlink" Target="http://www.westlaw.com/Link/Document/FullText?findType=Y&amp;serNum=2034663135&amp;pubNum=0000506&amp;originatingDoc=Ia298e997530511e5b4bafa136b480ad2&amp;refType=RP&amp;fi=co_pp_sp_506_623&amp;originationContext=document&amp;vr=3.0&amp;rs=cblt1.0&amp;transitionType=DocumentItem&amp;contextData=(sc.Default)"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www.westlaw.com/Link/Document/FullText?findType=h&amp;pubNum=176284&amp;cite=0372552701&amp;originatingDoc=Ia298e997530511e5b4bafa136b480ad2&amp;refType=RQ&amp;originationContext=document&amp;vr=3.0&amp;rs=cblt1.0&amp;transitionType=DocumentItem&amp;contextData=(sc.Default)" TargetMode="External"/><Relationship Id="rId23" Type="http://schemas.openxmlformats.org/officeDocument/2006/relationships/hyperlink" Target="http://www.westlaw.com/Link/Document/FullText?findType=L&amp;pubNum=1000546&amp;cite=18USCAS2710&amp;originatingDoc=Ia298e997530511e5b4bafa136b480ad2&amp;refType=RB&amp;originationContext=document&amp;vr=3.0&amp;rs=cblt1.0&amp;transitionType=DocumentItem&amp;contextData=(sc.Default)" TargetMode="External"/><Relationship Id="rId28" Type="http://schemas.openxmlformats.org/officeDocument/2006/relationships/hyperlink" Target="http://www.westlaw.com/Link/Document/FullText?findType=L&amp;pubNum=1000546&amp;cite=18USCAS2710&amp;originatingDoc=Ia298e997530511e5b4bafa136b480ad2&amp;refType=RB&amp;originationContext=document&amp;vr=3.0&amp;rs=cblt1.0&amp;transitionType=DocumentItem&amp;contextData=(sc.Default)" TargetMode="External"/><Relationship Id="rId36" Type="http://schemas.openxmlformats.org/officeDocument/2006/relationships/hyperlink" Target="http://www.westlaw.com/Link/Document/FullText?findType=Y&amp;serNum=2027252511&amp;pubNum=0000506&amp;originatingDoc=Ia298e997530511e5b4bafa136b480ad2&amp;refType=RP&amp;fi=co_pp_sp_506_536&amp;originationContext=document&amp;vr=3.0&amp;rs=cblt1.0&amp;transitionType=DocumentItem&amp;contextData=(sc.Default)" TargetMode="External"/><Relationship Id="rId49" Type="http://schemas.openxmlformats.org/officeDocument/2006/relationships/hyperlink" Target="http://www.westlaw.com/Link/Document/FullText?findType=Y&amp;serNum=2004671545&amp;pubNum=0000506&amp;originatingDoc=Ia298e997530511e5b4bafa136b480ad2&amp;refType=RP&amp;fi=co_pp_sp_506_379&amp;originationContext=document&amp;vr=3.0&amp;rs=cblt1.0&amp;transitionType=DocumentItem&amp;contextData=(sc.Default)" TargetMode="External"/><Relationship Id="rId57" Type="http://schemas.openxmlformats.org/officeDocument/2006/relationships/hyperlink" Target="http://www.westlaw.com/Link/Document/FullText?findType=L&amp;pubNum=1000546&amp;cite=18USCAS2710&amp;originatingDoc=Ia298e997530511e5b4bafa136b480ad2&amp;refType=LQ&amp;originationContext=document&amp;vr=3.0&amp;rs=cblt1.0&amp;transitionType=DocumentItem&amp;contextData=(sc.Default)" TargetMode="External"/><Relationship Id="rId10" Type="http://schemas.openxmlformats.org/officeDocument/2006/relationships/hyperlink" Target="http://www.westlaw.com/Link/Document/FullText?findType=h&amp;pubNum=176284&amp;cite=0136943901&amp;originatingDoc=Ia298e997530511e5b4bafa136b480ad2&amp;refType=RQ&amp;originationContext=document&amp;vr=3.0&amp;rs=cblt1.0&amp;transitionType=DocumentItem&amp;contextData=(sc.Default)" TargetMode="External"/><Relationship Id="rId31" Type="http://schemas.openxmlformats.org/officeDocument/2006/relationships/hyperlink" Target="http://www.westlaw.com/Link/Document/FullText?findType=L&amp;pubNum=1000546&amp;cite=18USCAS2710&amp;originatingDoc=Ia298e997530511e5b4bafa136b480ad2&amp;refType=RB&amp;originationContext=document&amp;vr=3.0&amp;rs=cblt1.0&amp;transitionType=DocumentItem&amp;contextData=(sc.Default)" TargetMode="External"/><Relationship Id="rId44" Type="http://schemas.openxmlformats.org/officeDocument/2006/relationships/hyperlink" Target="http://www.westlaw.com/Link/Document/FullText?findType=L&amp;pubNum=1000546&amp;cite=18USCAS2710&amp;originatingDoc=Ia298e997530511e5b4bafa136b480ad2&amp;refType=RB&amp;originationContext=document&amp;vr=3.0&amp;rs=cblt1.0&amp;transitionType=DocumentItem&amp;contextData=(sc.Default)" TargetMode="External"/><Relationship Id="rId52" Type="http://schemas.openxmlformats.org/officeDocument/2006/relationships/hyperlink" Target="http://www.westlaw.com/Link/Document/FullText?findType=Y&amp;serNum=0100905127&amp;pubNum=0001503&amp;originatingDoc=Ia298e997530511e5b4bafa136b480ad2&amp;refType=TV&amp;originationContext=document&amp;vr=3.0&amp;rs=cblt1.0&amp;transitionType=DocumentItem&amp;contextData=(sc.Default)" TargetMode="External"/><Relationship Id="rId60" Type="http://schemas.openxmlformats.org/officeDocument/2006/relationships/hyperlink" Target="http://www.westlaw.com/Link/Document/FullText?findType=Y&amp;serNum=2011560890&amp;pubNum=0000506&amp;originatingDoc=Ia298e997530511e5b4bafa136b480ad2&amp;refType=RP&amp;fi=co_pp_sp_506_1065&amp;originationContext=document&amp;vr=3.0&amp;rs=cblt1.0&amp;transitionType=DocumentItem&amp;contextData=(sc.Default)" TargetMode="External"/><Relationship Id="rId65" Type="http://schemas.openxmlformats.org/officeDocument/2006/relationships/hyperlink" Target="http://www.westlaw.com/Link/Document/FullText?findType=L&amp;pubNum=1000546&amp;cite=18USCAS2710&amp;originatingDoc=Ia298e997530511e5b4bafa136b480ad2&amp;refType=LQ&amp;originationContext=document&amp;vr=3.0&amp;rs=cblt1.0&amp;transitionType=DocumentItem&amp;contextData=(sc.Default)" TargetMode="External"/><Relationship Id="rId73" Type="http://schemas.openxmlformats.org/officeDocument/2006/relationships/hyperlink" Target="http://www.westlaw.com/Link/Document/FullText?findType=Y&amp;serNum=0100905127&amp;pubNum=0001503&amp;originatingDoc=Ia298e997530511e5b4bafa136b480ad2&amp;refType=TV&amp;originationContext=document&amp;vr=3.0&amp;rs=cblt1.0&amp;transitionType=DocumentItem&amp;contextData=(sc.Default)" TargetMode="External"/><Relationship Id="rId78" Type="http://schemas.openxmlformats.org/officeDocument/2006/relationships/hyperlink" Target="http://www.westlaw.com/Link/Document/FullText?findType=L&amp;pubNum=1000546&amp;cite=18USCAS2710&amp;originatingDoc=Ia298e997530511e5b4bafa136b480ad2&amp;refType=RB&amp;originationContext=document&amp;vr=3.0&amp;rs=cblt1.0&amp;transitionType=DocumentItem&amp;contextData=(sc.Default)" TargetMode="External"/><Relationship Id="rId81" Type="http://schemas.openxmlformats.org/officeDocument/2006/relationships/hyperlink" Target="http://www.westlaw.com/Link/Document/FullText?findType=L&amp;pubNum=1000546&amp;cite=18USCAS2710&amp;originatingDoc=Ia298e997530511e5b4bafa136b480ad2&amp;refType=RB&amp;originationContext=document&amp;vr=3.0&amp;rs=cblt1.0&amp;transitionType=DocumentItem&amp;contextData=(sc.Default)" TargetMode="External"/><Relationship Id="rId86" Type="http://schemas.openxmlformats.org/officeDocument/2006/relationships/hyperlink" Target="http://www.westlaw.com/Link/Document/FullText?findType=Y&amp;serNum=0100905127&amp;pubNum=0001503&amp;originatingDoc=Ia298e997530511e5b4bafa136b480ad2&amp;refType=TV&amp;originationContext=document&amp;vr=3.0&amp;rs=cblt1.0&amp;transitionType=DocumentItem&amp;contextData=(sc.Default)"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westlaw.com/Search/Results.html?query=advanced%3a+OAID(4297616371)&amp;saveJuris=False&amp;contentType=BUSINESS-INVESTIGATOR&amp;startIndex=1&amp;contextData=(sc.Default)&amp;categoryPageUrl=Home%2fCompanyInvestigator&amp;originationContext=document&amp;vr=3.0&amp;rs=cblt1.0&amp;transitionType=DocumentIte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5083</Words>
  <Characters>53763</Characters>
  <Application>Microsoft Office Word</Application>
  <DocSecurity>4</DocSecurity>
  <Lines>448</Lines>
  <Paragraphs>117</Paragraphs>
  <ScaleCrop>false</ScaleCrop>
  <HeadingPairs>
    <vt:vector size="2" baseType="variant">
      <vt:variant>
        <vt:lpstr>Title</vt:lpstr>
      </vt:variant>
      <vt:variant>
        <vt:i4>1</vt:i4>
      </vt:variant>
    </vt:vector>
  </HeadingPairs>
  <TitlesOfParts>
    <vt:vector size="1" baseType="lpstr">
      <vt:lpstr/>
    </vt:vector>
  </TitlesOfParts>
  <Company>Cooley</Company>
  <LinksUpToDate>false</LinksUpToDate>
  <CharactersWithSpaces>58729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Sanchez, Ralph</dc:creator>
  <cp:lastModifiedBy>Laster, Jana</cp:lastModifiedBy>
  <cp:revision>2</cp:revision>
  <dcterms:created xsi:type="dcterms:W3CDTF">2015-10-26T20:15:00Z</dcterms:created>
  <dcterms:modified xsi:type="dcterms:W3CDTF">2015-10-26T20:15:00Z</dcterms:modified>
</cp:coreProperties>
</file>